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27E2" w14:textId="77777777" w:rsidR="006E4DFE" w:rsidRPr="009C0C4C" w:rsidRDefault="00000000" w:rsidP="009C0C4C">
      <w:pPr>
        <w:spacing w:line="312" w:lineRule="auto"/>
        <w:jc w:val="right"/>
        <w:rPr>
          <w:lang w:val="ru-RU"/>
        </w:rPr>
      </w:pPr>
      <w:r w:rsidRPr="009C0C4C">
        <w:rPr>
          <w:lang w:val="ru-RU"/>
        </w:rPr>
        <w:t>Приложение</w:t>
      </w:r>
    </w:p>
    <w:p w14:paraId="69B7FB84" w14:textId="77777777" w:rsidR="006E4DFE" w:rsidRPr="009C0C4C" w:rsidRDefault="00000000" w:rsidP="009C0C4C">
      <w:pPr>
        <w:spacing w:line="312" w:lineRule="auto"/>
        <w:jc w:val="center"/>
        <w:rPr>
          <w:lang w:val="ru-RU"/>
        </w:rPr>
      </w:pPr>
      <w:r w:rsidRPr="009C0C4C"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</w:t>
      </w:r>
    </w:p>
    <w:p w14:paraId="5238DECE" w14:textId="77777777" w:rsidR="006E4DFE" w:rsidRPr="009C0C4C" w:rsidRDefault="00000000" w:rsidP="009C0C4C">
      <w:pPr>
        <w:spacing w:line="312" w:lineRule="auto"/>
        <w:jc w:val="center"/>
        <w:rPr>
          <w:lang w:val="ru-RU"/>
        </w:rPr>
      </w:pPr>
      <w:r w:rsidRPr="009C0C4C">
        <w:rPr>
          <w:b/>
          <w:bCs/>
          <w:lang w:val="ru-RU"/>
        </w:rPr>
        <w:t>«Административно-правовая система транспортной безопасности: институты, процедуры, контроль»</w:t>
      </w:r>
    </w:p>
    <w:p w14:paraId="066D1753" w14:textId="77777777" w:rsidR="009C0C4C" w:rsidRDefault="009C0C4C" w:rsidP="009C0C4C">
      <w:pPr>
        <w:spacing w:line="312" w:lineRule="auto"/>
        <w:jc w:val="center"/>
        <w:rPr>
          <w:b/>
          <w:bCs/>
          <w:lang w:val="ru-RU"/>
        </w:rPr>
      </w:pPr>
    </w:p>
    <w:p w14:paraId="6AC8553B" w14:textId="383FE626" w:rsidR="006E4DFE" w:rsidRPr="009C0C4C" w:rsidRDefault="00000000" w:rsidP="009C0C4C">
      <w:pPr>
        <w:spacing w:line="312" w:lineRule="auto"/>
        <w:rPr>
          <w:lang w:val="ru-RU"/>
        </w:rPr>
      </w:pPr>
      <w:r w:rsidRPr="009C0C4C">
        <w:rPr>
          <w:b/>
          <w:bCs/>
          <w:lang w:val="ru-RU"/>
        </w:rPr>
        <w:t>Оценка знаний, умений и навыков по компетенциям ПК-2, ПК-8</w:t>
      </w:r>
    </w:p>
    <w:p w14:paraId="227AB4D1" w14:textId="77777777" w:rsidR="006E4DFE" w:rsidRDefault="00000000" w:rsidP="009C0C4C">
      <w:pPr>
        <w:spacing w:line="312" w:lineRule="auto"/>
        <w:rPr>
          <w:b/>
          <w:bCs/>
          <w:lang w:val="ru-RU"/>
        </w:rPr>
      </w:pPr>
      <w:r w:rsidRPr="009C0C4C">
        <w:rPr>
          <w:b/>
          <w:bCs/>
          <w:lang w:val="ru-RU"/>
        </w:rPr>
        <w:t>Семестр изучения: 1</w:t>
      </w:r>
    </w:p>
    <w:p w14:paraId="6E00ADD0" w14:textId="77777777" w:rsidR="009C0C4C" w:rsidRPr="009C0C4C" w:rsidRDefault="009C0C4C" w:rsidP="009C0C4C">
      <w:pPr>
        <w:spacing w:line="312" w:lineRule="auto"/>
        <w:rPr>
          <w:lang w:val="ru-RU"/>
        </w:rPr>
      </w:pPr>
    </w:p>
    <w:p w14:paraId="58777D7B" w14:textId="77777777" w:rsidR="006E4DFE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5142313A" w14:textId="77777777" w:rsidR="009C0C4C" w:rsidRPr="009C0C4C" w:rsidRDefault="009C0C4C" w:rsidP="009C0C4C">
      <w:pPr>
        <w:spacing w:line="312" w:lineRule="auto"/>
        <w:ind w:firstLine="709"/>
        <w:jc w:val="both"/>
        <w:rPr>
          <w:lang w:val="ru-RU"/>
        </w:rPr>
      </w:pPr>
    </w:p>
    <w:p w14:paraId="7B15C36D" w14:textId="77777777" w:rsidR="006E4DFE" w:rsidRPr="009C0C4C" w:rsidRDefault="00000000" w:rsidP="009C0C4C">
      <w:pPr>
        <w:spacing w:line="312" w:lineRule="auto"/>
        <w:jc w:val="center"/>
        <w:rPr>
          <w:lang w:val="ru-RU"/>
        </w:rPr>
      </w:pPr>
      <w:r w:rsidRPr="009C0C4C">
        <w:rPr>
          <w:b/>
          <w:bCs/>
          <w:lang w:val="ru-RU"/>
        </w:rPr>
        <w:t>Примерный перечень вопросов на зачет</w:t>
      </w:r>
    </w:p>
    <w:p w14:paraId="0CF73472" w14:textId="7E7F39B0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 xml:space="preserve"> Понятие, цели и принципы обеспечения транспортной безопасности.</w:t>
      </w:r>
    </w:p>
    <w:p w14:paraId="02A3B908" w14:textId="1F8F4611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Система источников правового регулирования транспортной безопасности.</w:t>
      </w:r>
    </w:p>
    <w:p w14:paraId="5DFE238C" w14:textId="7BC56ADF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Соотношение транспортной безопасности со смежными видами безопасности (национальной, общественной, экономической).</w:t>
      </w:r>
    </w:p>
    <w:p w14:paraId="79A6A22D" w14:textId="5FE2C213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Федеральный закон «О транспортной безопасности»: структура, сфера действия, основные понятия.</w:t>
      </w:r>
    </w:p>
    <w:p w14:paraId="08A893E8" w14:textId="35D7D7D3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Субъекты обеспечения транспортной безопасности и их правовой статус.</w:t>
      </w:r>
    </w:p>
    <w:p w14:paraId="463EF2FD" w14:textId="1B3092A2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Компетенция федеральных органов исполнительной власти в области транспортной безопасности.</w:t>
      </w:r>
    </w:p>
    <w:p w14:paraId="77FCA73A" w14:textId="1800F726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Полномочия компетентных органов в области обеспечения транспортной безопасности.</w:t>
      </w:r>
    </w:p>
    <w:p w14:paraId="32A85BAD" w14:textId="02B92927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Государственный контроль (надзор) в области транспортной безопасности: органы и формы.</w:t>
      </w:r>
    </w:p>
    <w:p w14:paraId="7FD1BC35" w14:textId="1F7AB7FF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Правовой статус субъектов транспортной инфраструктуры.</w:t>
      </w:r>
    </w:p>
    <w:p w14:paraId="2C2E3E95" w14:textId="681694CC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Правовой статус перевозчиков в системе обеспечения транспортной безопасности.</w:t>
      </w:r>
    </w:p>
    <w:p w14:paraId="0523A164" w14:textId="3D52E963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Подразделения транспортной безопасности: понятие, функции, требования.</w:t>
      </w:r>
    </w:p>
    <w:p w14:paraId="42F322D7" w14:textId="45717C11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Аккредитация юридических лиц для проведения оценки уязвимости.</w:t>
      </w:r>
    </w:p>
    <w:p w14:paraId="048C5DB6" w14:textId="09A109F3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lastRenderedPageBreak/>
        <w:t>Аттестация сил обеспечения транспортной безопасности.</w:t>
      </w:r>
    </w:p>
    <w:p w14:paraId="17F3CD29" w14:textId="72052508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Категорирование объектов транспортной инфраструктуры и транспортных средств: понятие и правовые основания.</w:t>
      </w:r>
    </w:p>
    <w:p w14:paraId="7F1260A7" w14:textId="74C575D9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Порядок и критерии категорирования; юридические последствия присвоения категории.</w:t>
      </w:r>
    </w:p>
    <w:p w14:paraId="7F12E0CC" w14:textId="7989696F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Оценка уязвимости объектов транспортной инфраструктуры и транспортных средств.</w:t>
      </w:r>
    </w:p>
    <w:p w14:paraId="1246F550" w14:textId="12E8E5E4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Планы обеспечения транспортной безопасности: правовые требования к содержанию.</w:t>
      </w:r>
    </w:p>
    <w:p w14:paraId="473DB3A3" w14:textId="1769F935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Порядок разработки, утверждения и реализации планов обеспечения транспортной безопасности.</w:t>
      </w:r>
    </w:p>
    <w:p w14:paraId="2521492F" w14:textId="578A159C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 xml:space="preserve"> Уровни безопасности и порядок их объявления.</w:t>
      </w:r>
    </w:p>
    <w:p w14:paraId="0901692B" w14:textId="62B43A32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Меры административного принуждения в области транспортной безопасности.</w:t>
      </w:r>
    </w:p>
    <w:p w14:paraId="162C48FA" w14:textId="4EB70D4A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Административные правонарушения в области обеспечения транспортной безопасности (ст. 11.15.1 КоАП РФ).</w:t>
      </w:r>
    </w:p>
    <w:p w14:paraId="3BF854B2" w14:textId="24C47BC7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Неисполнение требований по обеспечению транспортной безопасности (ст. 11.15.2 КоАП РФ).</w:t>
      </w:r>
    </w:p>
    <w:p w14:paraId="40D5FB25" w14:textId="00704190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Порядок производства по делам об административных правонарушениях в области транспортной безопасности.</w:t>
      </w:r>
    </w:p>
    <w:p w14:paraId="6C10830B" w14:textId="44BBE5E2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Особенности юридического консультирования субъектов транспортной инфраструктуры.</w:t>
      </w:r>
    </w:p>
    <w:p w14:paraId="50803D93" w14:textId="74DFB7BD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Правовые риски субъектов транспортной инфраструктуры и способы их минимизации.</w:t>
      </w:r>
    </w:p>
    <w:p w14:paraId="62C6FE8D" w14:textId="0ECB8F51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Обжалование решений и действий органов контроля (надзора) в области транспортной безопасности.</w:t>
      </w:r>
    </w:p>
    <w:p w14:paraId="07205260" w14:textId="3A2E96CA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Информационное обеспечение и межведомственное взаимодействие в области транспортной безопасности.</w:t>
      </w:r>
    </w:p>
    <w:p w14:paraId="7E04D69B" w14:textId="621CE4ED" w:rsidR="006E4DFE" w:rsidRPr="009C0C4C" w:rsidRDefault="00000000" w:rsidP="009C0C4C">
      <w:pPr>
        <w:pStyle w:val="ae"/>
        <w:numPr>
          <w:ilvl w:val="0"/>
          <w:numId w:val="1"/>
        </w:numPr>
        <w:tabs>
          <w:tab w:val="left" w:pos="1134"/>
        </w:tabs>
        <w:spacing w:line="312" w:lineRule="auto"/>
        <w:ind w:left="0" w:firstLine="709"/>
        <w:jc w:val="both"/>
        <w:rPr>
          <w:lang w:val="ru-RU"/>
        </w:rPr>
      </w:pPr>
      <w:r w:rsidRPr="009C0C4C">
        <w:rPr>
          <w:lang w:val="ru-RU"/>
        </w:rPr>
        <w:t>Юридическая ответственность за нарушение требований в области транспортной безопасности: виды и соотношение.</w:t>
      </w:r>
    </w:p>
    <w:p w14:paraId="26174D62" w14:textId="77777777" w:rsidR="009C0C4C" w:rsidRDefault="009C0C4C" w:rsidP="009C0C4C">
      <w:pPr>
        <w:spacing w:line="312" w:lineRule="auto"/>
        <w:jc w:val="both"/>
        <w:rPr>
          <w:lang w:val="ru-RU"/>
        </w:rPr>
      </w:pPr>
    </w:p>
    <w:p w14:paraId="1AA9FF2F" w14:textId="09874965" w:rsidR="006E4DFE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При проведении текущего контроля по компетенции ПК-2 обучающемуся необходимо решить не менее 30 % предложенных тестовых заданий.</w:t>
      </w:r>
    </w:p>
    <w:p w14:paraId="41BEC02C" w14:textId="77777777" w:rsidR="009C0C4C" w:rsidRPr="009C0C4C" w:rsidRDefault="009C0C4C" w:rsidP="009C0C4C">
      <w:pPr>
        <w:spacing w:line="312" w:lineRule="auto"/>
        <w:ind w:firstLine="709"/>
        <w:jc w:val="both"/>
        <w:rPr>
          <w:lang w:val="ru-RU"/>
        </w:rPr>
      </w:pPr>
    </w:p>
    <w:p w14:paraId="06AF5FC1" w14:textId="4DDF3844" w:rsidR="006E4DFE" w:rsidRDefault="00000000" w:rsidP="009C0C4C">
      <w:pPr>
        <w:spacing w:line="312" w:lineRule="auto"/>
        <w:jc w:val="center"/>
        <w:rPr>
          <w:b/>
          <w:bCs/>
          <w:lang w:val="ru-RU"/>
        </w:rPr>
      </w:pPr>
      <w:r w:rsidRPr="009C0C4C">
        <w:rPr>
          <w:b/>
          <w:bCs/>
          <w:lang w:val="ru-RU"/>
        </w:rPr>
        <w:lastRenderedPageBreak/>
        <w:t xml:space="preserve">Примерный перечень тестовых заданий </w:t>
      </w:r>
    </w:p>
    <w:p w14:paraId="18F00524" w14:textId="77777777" w:rsidR="009C0C4C" w:rsidRPr="009C0C4C" w:rsidRDefault="009C0C4C" w:rsidP="009C0C4C">
      <w:pPr>
        <w:spacing w:line="312" w:lineRule="auto"/>
        <w:jc w:val="center"/>
        <w:rPr>
          <w:lang w:val="ru-RU"/>
        </w:rPr>
      </w:pPr>
    </w:p>
    <w:p w14:paraId="10F93300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1. Правовую основу обеспечения транспортной безопасности в Российской Федерации составляет прежде всего:</w:t>
      </w:r>
    </w:p>
    <w:p w14:paraId="43265034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Федеральный закон «О транспортной безопасности»;</w:t>
      </w:r>
    </w:p>
    <w:p w14:paraId="2FDFC67D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Федеральный закон «О полиции»;</w:t>
      </w:r>
    </w:p>
    <w:p w14:paraId="36CE7CF5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Кодекс торгового мореплавания Российской Федерации;</w:t>
      </w:r>
    </w:p>
    <w:p w14:paraId="2A9C8AC9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Налоговый кодекс Российской Федерации.</w:t>
      </w:r>
    </w:p>
    <w:p w14:paraId="52851B4F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2. Категорирование объектов транспортной инфраструктуры и транспортных средств осуществляется в целях:</w:t>
      </w:r>
    </w:p>
    <w:p w14:paraId="57757AD1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установления тарифов на перевозки;</w:t>
      </w:r>
    </w:p>
    <w:p w14:paraId="50F58AF4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дифференцированного установления требований по обеспечению транспортной безопасности;</w:t>
      </w:r>
    </w:p>
    <w:p w14:paraId="76E0831C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определения формы собственности объекта;</w:t>
      </w:r>
    </w:p>
    <w:p w14:paraId="1E12CC86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лицензирования перевозочной деятельности.</w:t>
      </w:r>
    </w:p>
    <w:p w14:paraId="523CF430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3. Оценка уязвимости объектов транспортной инфраструктуры проводится:</w:t>
      </w:r>
    </w:p>
    <w:p w14:paraId="0770C888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субъектом транспортной инфраструктуры в произвольной форме;</w:t>
      </w:r>
    </w:p>
    <w:p w14:paraId="0CC9BCE3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специализированными организациями, аккредитованными в установленном порядке;</w:t>
      </w:r>
    </w:p>
    <w:p w14:paraId="325FFBC6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исключительно органами прокуратуры;</w:t>
      </w:r>
    </w:p>
    <w:p w14:paraId="274AB452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судом.</w:t>
      </w:r>
    </w:p>
    <w:p w14:paraId="77F47C03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4. План обеспечения транспортной безопасности объекта транспортной инфраструктуры разрабатывается на основании:</w:t>
      </w:r>
    </w:p>
    <w:p w14:paraId="79467134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результатов оценки уязвимости;</w:t>
      </w:r>
    </w:p>
    <w:p w14:paraId="1E71CA4F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решения общего собрания работников;</w:t>
      </w:r>
    </w:p>
    <w:p w14:paraId="0E6AFA44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данных бухгалтерской отчётности;</w:t>
      </w:r>
    </w:p>
    <w:p w14:paraId="390FB3B5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требования перевозчика.</w:t>
      </w:r>
    </w:p>
    <w:p w14:paraId="2A6DF8A7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5. Уровни безопасности объектов транспортной инфраструктуры и транспортных средств:</w:t>
      </w:r>
    </w:p>
    <w:p w14:paraId="57E8E699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устанавливаются субъектом транспортной инфраструктуры;</w:t>
      </w:r>
    </w:p>
    <w:p w14:paraId="1CE363CF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объявляются в порядке, установленном Правительством Российской Федерации;</w:t>
      </w:r>
    </w:p>
    <w:p w14:paraId="5A78C913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определяются перевозчиком;</w:t>
      </w:r>
    </w:p>
    <w:p w14:paraId="66C6C5AD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законодательством не предусмотрены.</w:t>
      </w:r>
    </w:p>
    <w:p w14:paraId="729A6DA3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lastRenderedPageBreak/>
        <w:t>6. Субъект транспортной инфраструктуры — это:</w:t>
      </w:r>
    </w:p>
    <w:p w14:paraId="296D06B8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любое физическое лицо, пользующееся транспортом;</w:t>
      </w:r>
    </w:p>
    <w:p w14:paraId="56A78819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юридическое или физическое лицо, являющееся собственником объектов транспортной инфраструктуры или транспортных средств либо использующее их на ином законном основании;</w:t>
      </w:r>
    </w:p>
    <w:p w14:paraId="741D1D51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орган государственного контроля (надзора);</w:t>
      </w:r>
    </w:p>
    <w:p w14:paraId="1BFA9E65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исключительно перевозчик.</w:t>
      </w:r>
    </w:p>
    <w:p w14:paraId="789B46CE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7. Аккредитация юридических лиц в области обеспечения транспортной безопасности необходима для:</w:t>
      </w:r>
    </w:p>
    <w:p w14:paraId="77F83CED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осуществления перевозок пассажиров;</w:t>
      </w:r>
    </w:p>
    <w:p w14:paraId="0946461D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проведения оценки уязвимости;</w:t>
      </w:r>
    </w:p>
    <w:p w14:paraId="67FC7D4E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получения лицензии на охранную деятельность;</w:t>
      </w:r>
    </w:p>
    <w:p w14:paraId="5C601112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ведения бухгалтерского учёта.</w:t>
      </w:r>
    </w:p>
    <w:p w14:paraId="6C7BC36B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8. Государственный контроль (надзор) в области обеспечения транспортной безопасности осуществляет:</w:t>
      </w:r>
    </w:p>
    <w:p w14:paraId="6304BE94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Федеральная налоговая служба;</w:t>
      </w:r>
    </w:p>
    <w:p w14:paraId="48102462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Федеральная служба по надзору в сфере транспорта (Ространснадзор);</w:t>
      </w:r>
    </w:p>
    <w:p w14:paraId="2E509DAB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Центральный банк Российской Федерации;</w:t>
      </w:r>
    </w:p>
    <w:p w14:paraId="65BD6955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Федеральная антимонопольная служба.</w:t>
      </w:r>
    </w:p>
    <w:p w14:paraId="2E7ED545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9. Ответственность за неисполнение требований по обеспечению транспортной безопасности предусмотрена:</w:t>
      </w:r>
    </w:p>
    <w:p w14:paraId="52C8876A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только Уголовным кодексом Российской Федерации;</w:t>
      </w:r>
    </w:p>
    <w:p w14:paraId="71FFD50E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Кодексом Российской Федерации об административных правонарушениях (в том числе ст. 11.15.1, 11.15.2);</w:t>
      </w:r>
    </w:p>
    <w:p w14:paraId="7E9D7B55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только гражданским законодательством;</w:t>
      </w:r>
    </w:p>
    <w:p w14:paraId="7A9178D1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законодательством не предусмотрена.</w:t>
      </w:r>
    </w:p>
    <w:p w14:paraId="39D4DD64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10. Силы обеспечения транспортной безопасности — это:</w:t>
      </w:r>
    </w:p>
    <w:p w14:paraId="363E1BB9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лица, ответственные за обеспечение транспортной безопасности, и работники подразделений транспортной безопасности;</w:t>
      </w:r>
    </w:p>
    <w:p w14:paraId="07BA4C3F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сотрудники органов прокуратуры;</w:t>
      </w:r>
    </w:p>
    <w:p w14:paraId="110BBDAB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пассажиры, прошедшие досмотр;</w:t>
      </w:r>
    </w:p>
    <w:p w14:paraId="0A78061E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судьи.</w:t>
      </w:r>
    </w:p>
    <w:p w14:paraId="398F5AD5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11. Аттестация сил обеспечения транспортной безопасности проводится в целях:</w:t>
      </w:r>
    </w:p>
    <w:p w14:paraId="4B9C5E1E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lastRenderedPageBreak/>
        <w:t>– установления соответствия знаний и умений работников предъявляемым требованиям;</w:t>
      </w:r>
    </w:p>
    <w:p w14:paraId="48D37C57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определения размера заработной платы;</w:t>
      </w:r>
    </w:p>
    <w:p w14:paraId="7455EE78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лицензирования перевозок;</w:t>
      </w:r>
    </w:p>
    <w:p w14:paraId="1FAA5BC5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категорирования объекта.</w:t>
      </w:r>
    </w:p>
    <w:p w14:paraId="658F56E0" w14:textId="77777777" w:rsidR="006E4DFE" w:rsidRPr="009C0C4C" w:rsidRDefault="00000000" w:rsidP="009C0C4C">
      <w:pPr>
        <w:spacing w:line="312" w:lineRule="auto"/>
        <w:jc w:val="both"/>
        <w:rPr>
          <w:lang w:val="ru-RU"/>
        </w:rPr>
      </w:pPr>
      <w:r w:rsidRPr="009C0C4C">
        <w:rPr>
          <w:b/>
          <w:bCs/>
          <w:lang w:val="ru-RU"/>
        </w:rPr>
        <w:t>12. Результаты оценки уязвимости объекта транспортной инфраструктуры утверждаются:</w:t>
      </w:r>
    </w:p>
    <w:p w14:paraId="4704C610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субъектом транспортной инфраструктуры;</w:t>
      </w:r>
    </w:p>
    <w:p w14:paraId="1D2F22DD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компетентным органом в области обеспечения транспортной безопасности;</w:t>
      </w:r>
    </w:p>
    <w:p w14:paraId="345943F7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судом общей юрисдикции;</w:t>
      </w:r>
    </w:p>
    <w:p w14:paraId="5F911FBD" w14:textId="77777777" w:rsidR="006E4DFE" w:rsidRPr="009C0C4C" w:rsidRDefault="00000000" w:rsidP="009C0C4C">
      <w:pPr>
        <w:spacing w:line="312" w:lineRule="auto"/>
        <w:ind w:left="360"/>
        <w:jc w:val="both"/>
        <w:rPr>
          <w:lang w:val="ru-RU"/>
        </w:rPr>
      </w:pPr>
      <w:r w:rsidRPr="009C0C4C">
        <w:rPr>
          <w:lang w:val="ru-RU"/>
        </w:rPr>
        <w:t>– органом местного самоуправления.</w:t>
      </w:r>
    </w:p>
    <w:p w14:paraId="26803AB2" w14:textId="77777777" w:rsidR="009C0C4C" w:rsidRDefault="009C0C4C" w:rsidP="009C0C4C">
      <w:pPr>
        <w:spacing w:line="312" w:lineRule="auto"/>
        <w:jc w:val="both"/>
        <w:rPr>
          <w:lang w:val="ru-RU"/>
        </w:rPr>
      </w:pPr>
    </w:p>
    <w:p w14:paraId="5D7B7AA9" w14:textId="4B01FE29" w:rsidR="006E4DFE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При проведении текущего контроля по компетенции ПК-8 обучающемуся необходимо подготовить проект по одной из предложенных тем.</w:t>
      </w:r>
    </w:p>
    <w:p w14:paraId="6DD265DB" w14:textId="77777777" w:rsidR="009C0C4C" w:rsidRPr="009C0C4C" w:rsidRDefault="009C0C4C" w:rsidP="009C0C4C">
      <w:pPr>
        <w:spacing w:line="312" w:lineRule="auto"/>
        <w:ind w:firstLine="709"/>
        <w:jc w:val="both"/>
        <w:rPr>
          <w:lang w:val="ru-RU"/>
        </w:rPr>
      </w:pPr>
    </w:p>
    <w:p w14:paraId="651D9FE6" w14:textId="2D80F3AA" w:rsidR="006E4DFE" w:rsidRPr="009C0C4C" w:rsidRDefault="00000000" w:rsidP="009C0C4C">
      <w:pPr>
        <w:spacing w:line="312" w:lineRule="auto"/>
        <w:jc w:val="center"/>
        <w:rPr>
          <w:lang w:val="ru-RU"/>
        </w:rPr>
      </w:pPr>
      <w:r w:rsidRPr="009C0C4C">
        <w:rPr>
          <w:b/>
          <w:bCs/>
          <w:lang w:val="ru-RU"/>
        </w:rPr>
        <w:t>Примерная тематика проектных работ</w:t>
      </w:r>
    </w:p>
    <w:p w14:paraId="3C8C3A15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Административно-правовой механизм категорирования объектов транспортной инфраструктуры: проблемы реализации.</w:t>
      </w:r>
    </w:p>
    <w:p w14:paraId="6A9D174F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Правовое регулирование оценки уязвимости объектов транспортной инфраструктуры и транспортных средств.</w:t>
      </w:r>
    </w:p>
    <w:p w14:paraId="2794302E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Планы обеспечения транспортной безопасности: правовая природа и практика реализации.</w:t>
      </w:r>
    </w:p>
    <w:p w14:paraId="7B091F90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Полномочия компетентных органов в области обеспечения транспортной безопасности: сравнительный анализ по видам транспорта.</w:t>
      </w:r>
    </w:p>
    <w:p w14:paraId="280CC2C3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Подразделения транспортной безопасности: правовой статус и проблемы правоприменения.</w:t>
      </w:r>
    </w:p>
    <w:p w14:paraId="0C98789A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Аккредитация и аттестация в системе обеспечения транспортной безопасности.</w:t>
      </w:r>
    </w:p>
    <w:p w14:paraId="5057638B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Административная ответственность за нарушение требований в области транспортной безопасности.</w:t>
      </w:r>
    </w:p>
    <w:p w14:paraId="43929CCB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Государственный контроль (надзор) в области транспортной безопасности: формы и эффективность.</w:t>
      </w:r>
    </w:p>
    <w:p w14:paraId="6A95F4A8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lastRenderedPageBreak/>
        <w:t>– Межведомственное взаимодействие при обеспечении транспортной безопасности.</w:t>
      </w:r>
    </w:p>
    <w:p w14:paraId="15D7B3DD" w14:textId="77777777" w:rsidR="006E4DFE" w:rsidRPr="009C0C4C" w:rsidRDefault="00000000" w:rsidP="009C0C4C">
      <w:pPr>
        <w:spacing w:line="312" w:lineRule="auto"/>
        <w:ind w:firstLine="709"/>
        <w:jc w:val="both"/>
        <w:rPr>
          <w:lang w:val="ru-RU"/>
        </w:rPr>
      </w:pPr>
      <w:r w:rsidRPr="009C0C4C">
        <w:rPr>
          <w:lang w:val="ru-RU"/>
        </w:rPr>
        <w:t>– Защита прав субъектов транспортной инфраструктуры при осуществлении контрольно-надзорной деятельности.</w:t>
      </w:r>
    </w:p>
    <w:sectPr w:rsidR="006E4DFE" w:rsidRPr="009C0C4C">
      <w:pgSz w:w="11906" w:h="16838"/>
      <w:pgMar w:top="1134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4F"/>
    <w:multiLevelType w:val="hybridMultilevel"/>
    <w:tmpl w:val="5082FE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883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FE"/>
    <w:rsid w:val="003C511D"/>
    <w:rsid w:val="006E4DFE"/>
    <w:rsid w:val="009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7C0A"/>
  <w15:docId w15:val="{02652B6F-07F8-49EF-82CF-880EAF0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link w:val="a6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концевой сноски Знак"/>
    <w:link w:val="a9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Free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d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ae">
    <w:name w:val="List Paragraph"/>
    <w:qFormat/>
  </w:style>
  <w:style w:type="paragraph" w:styleId="a6">
    <w:name w:val="footnote text"/>
    <w:basedOn w:val="a"/>
    <w:link w:val="a5"/>
    <w:uiPriority w:val="99"/>
    <w:semiHidden/>
    <w:unhideWhenUsed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Царева</cp:lastModifiedBy>
  <cp:revision>2</cp:revision>
  <dcterms:created xsi:type="dcterms:W3CDTF">2026-06-09T06:27:00Z</dcterms:created>
  <dcterms:modified xsi:type="dcterms:W3CDTF">2026-06-09T06:30:00Z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2026-06-04T20:34:08Z</dcterms:created>
  <dc:creator>Un-named</dc:creator>
  <dc:description/>
  <dc:language>en-US</dc:language>
  <cp:lastModifiedBy>Un-named</cp:lastModifiedBy>
  <dcterms:modified xsi:type="dcterms:W3CDTF">2026-06-04T20:34:08Z</dcterms:modified>
  <cp:revision>1</cp:revision>
  <dc:subject/>
  <dc:title/>
</cp:coreProperties>
</file>