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3C2559" w14:textId="77777777" w:rsidR="00B37129" w:rsidRDefault="00B37129" w:rsidP="00B3712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3712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ОЦЕНОЧНЫЕ МАТЕРИАЛЫ</w:t>
      </w:r>
    </w:p>
    <w:p w14:paraId="7E46BD03" w14:textId="11271EB7" w:rsidR="00BE73D9" w:rsidRPr="00B37129" w:rsidRDefault="00B37129" w:rsidP="00B3712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 дисциплине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E73D9" w:rsidRPr="00B37129">
        <w:rPr>
          <w:rFonts w:ascii="Times New Roman" w:hAnsi="Times New Roman" w:cs="Times New Roman"/>
          <w:b/>
          <w:bCs/>
          <w:sz w:val="28"/>
          <w:szCs w:val="28"/>
        </w:rPr>
        <w:t>«Документационное обеспечение транспортно-логистических процессов»</w:t>
      </w:r>
    </w:p>
    <w:p w14:paraId="7ACE2A9A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3C6A139" w14:textId="77777777" w:rsidR="00B37129" w:rsidRDefault="00B37129" w:rsidP="00B3712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Примерные тестовые задания</w:t>
      </w:r>
    </w:p>
    <w:p w14:paraId="460FE3B2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A9EEB71" w14:textId="1A9EBD61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 xml:space="preserve">1. Основным перевозочным документом при международной автомобильной перевозке грузов по Конвенции КДПГ является:  </w:t>
      </w:r>
    </w:p>
    <w:p w14:paraId="6DBB4EB3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 xml:space="preserve">а) Товарно-транспортная накладная (1-Т)  </w:t>
      </w:r>
    </w:p>
    <w:p w14:paraId="45C72482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 xml:space="preserve">б) Международная транспортная накладная CMR  </w:t>
      </w:r>
    </w:p>
    <w:p w14:paraId="03D07642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 xml:space="preserve">в) Коносамент  </w:t>
      </w:r>
    </w:p>
    <w:p w14:paraId="6F556C15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 xml:space="preserve">г) Грузовой манифест  </w:t>
      </w:r>
    </w:p>
    <w:p w14:paraId="3B2064FB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4CEB4B1" w14:textId="197F7666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 xml:space="preserve">2. Морской коносамент выполняет функции:  </w:t>
      </w:r>
    </w:p>
    <w:p w14:paraId="68F6DD63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 xml:space="preserve">а) Только договора перевозки  </w:t>
      </w:r>
    </w:p>
    <w:p w14:paraId="61981F2A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 xml:space="preserve">б) Только товарной накладной  </w:t>
      </w:r>
    </w:p>
    <w:p w14:paraId="23F0864C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 xml:space="preserve">в) Договора перевозки, расписки в приёме груза и товарораспорядительного документа  </w:t>
      </w:r>
    </w:p>
    <w:p w14:paraId="5D5CC4A2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 xml:space="preserve">г) Исключительно страхового полиса  </w:t>
      </w:r>
    </w:p>
    <w:p w14:paraId="4AF06F71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4F00DCF" w14:textId="44EB24D2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 xml:space="preserve">3. Какая форма транспортной накладной в настоящее время является основной при внутренних автомобильных грузоперевозках в РФ?  </w:t>
      </w:r>
    </w:p>
    <w:p w14:paraId="084E63D1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 xml:space="preserve">а) Товарно-транспортная накладная по форме № 1-Т  </w:t>
      </w:r>
    </w:p>
    <w:p w14:paraId="42580372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 xml:space="preserve">б) Транспортная накладная, оформляемая по Правилам перевозок грузов (пост. Правительства № 2200)  </w:t>
      </w:r>
    </w:p>
    <w:p w14:paraId="458900EF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 xml:space="preserve">в) CMR-накладная  </w:t>
      </w:r>
    </w:p>
    <w:p w14:paraId="33F5A678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 xml:space="preserve">г) Железнодорожная накладная ГУ-29  </w:t>
      </w:r>
    </w:p>
    <w:p w14:paraId="720014AB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825E47A" w14:textId="1F3D60AA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 xml:space="preserve">4. Передача груза на склад временного хранения подтверждается документом:  </w:t>
      </w:r>
    </w:p>
    <w:p w14:paraId="30BAD5A4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 xml:space="preserve">а) Акт приёма-передачи  </w:t>
      </w:r>
    </w:p>
    <w:p w14:paraId="0AA2CCB3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 xml:space="preserve">б) Складская квитанция  </w:t>
      </w:r>
    </w:p>
    <w:p w14:paraId="22939385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 xml:space="preserve">в) Товарная накладная ТОРГ-12  </w:t>
      </w:r>
    </w:p>
    <w:p w14:paraId="128F1A67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 xml:space="preserve">г) Договор поставки  </w:t>
      </w:r>
    </w:p>
    <w:p w14:paraId="16F4A707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2B88791" w14:textId="1C47AABA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 xml:space="preserve">5. Основным транспортным документом на опасный груз при автомобильной перевозке в соответствии с ДОПОГ является:  </w:t>
      </w:r>
    </w:p>
    <w:p w14:paraId="3C359F37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 xml:space="preserve">а) Паспорт безопасности химической продукции  </w:t>
      </w:r>
    </w:p>
    <w:p w14:paraId="7029DD24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 xml:space="preserve">б) Свидетельство о допущении транспортного средства к перевозке опасных грузов  </w:t>
      </w:r>
    </w:p>
    <w:p w14:paraId="111597F4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 xml:space="preserve">в) Транспортный документ на опасные грузы, предусмотренный ДОПОГ  </w:t>
      </w:r>
    </w:p>
    <w:p w14:paraId="04733872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 xml:space="preserve">г) Сертификат соответствия тары  </w:t>
      </w:r>
    </w:p>
    <w:p w14:paraId="534927DB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88AF079" w14:textId="73026C68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 xml:space="preserve">6. Применение электронного документооборота в транспортной логистике РФ регулируется:  </w:t>
      </w:r>
    </w:p>
    <w:p w14:paraId="45382BB9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 xml:space="preserve">а) Только Гражданским кодексом РФ  </w:t>
      </w:r>
    </w:p>
    <w:p w14:paraId="16F222EA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lastRenderedPageBreak/>
        <w:t xml:space="preserve">б) Федеральным законом «Об электронной подписи» и отраслевыми правилами (например, правилами об </w:t>
      </w:r>
      <w:proofErr w:type="spellStart"/>
      <w:r w:rsidRPr="00B37129">
        <w:rPr>
          <w:rFonts w:ascii="Times New Roman" w:hAnsi="Times New Roman" w:cs="Times New Roman"/>
          <w:sz w:val="28"/>
          <w:szCs w:val="28"/>
        </w:rPr>
        <w:t>ЭТрН</w:t>
      </w:r>
      <w:proofErr w:type="spellEnd"/>
      <w:r w:rsidRPr="00B37129">
        <w:rPr>
          <w:rFonts w:ascii="Times New Roman" w:hAnsi="Times New Roman" w:cs="Times New Roman"/>
          <w:sz w:val="28"/>
          <w:szCs w:val="28"/>
        </w:rPr>
        <w:t xml:space="preserve">)  </w:t>
      </w:r>
    </w:p>
    <w:p w14:paraId="62322227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 xml:space="preserve">в) Исключительно договорённостью сторон без правовой базы  </w:t>
      </w:r>
    </w:p>
    <w:p w14:paraId="38552662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 xml:space="preserve">г) Исключительно Кодексом торгового мореплавания  </w:t>
      </w:r>
    </w:p>
    <w:p w14:paraId="35AE4CE0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AC80DF4" w14:textId="5A92621B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 xml:space="preserve">7. Документом, подтверждающим заключение договора страхования груза, является:  </w:t>
      </w:r>
    </w:p>
    <w:p w14:paraId="67CC4F03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 xml:space="preserve">а) Коносамент  </w:t>
      </w:r>
    </w:p>
    <w:p w14:paraId="24000C38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 xml:space="preserve">б) Инвойс  </w:t>
      </w:r>
    </w:p>
    <w:p w14:paraId="30E189ED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 xml:space="preserve">в) Таможенная декларация  </w:t>
      </w:r>
    </w:p>
    <w:p w14:paraId="57750ACF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 xml:space="preserve">г) Страховой полис (сертификат)  </w:t>
      </w:r>
    </w:p>
    <w:p w14:paraId="402C8C81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816FA86" w14:textId="42FC8D88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 xml:space="preserve">8. Единая накладная ЦИМ/СМГС применяется:  </w:t>
      </w:r>
    </w:p>
    <w:p w14:paraId="749588FE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 xml:space="preserve">а) Только внутри ЕС  </w:t>
      </w:r>
    </w:p>
    <w:p w14:paraId="27B57FD2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 xml:space="preserve">б) В прямом железнодорожном сообщении между странами, применяющими СМГС и ЦИМ  </w:t>
      </w:r>
    </w:p>
    <w:p w14:paraId="78F56564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 xml:space="preserve">в) При внутренних автомобильных перевозках  </w:t>
      </w:r>
    </w:p>
    <w:p w14:paraId="793F9FD1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 xml:space="preserve">г) Исключительно для контейнерных морских линий  </w:t>
      </w:r>
    </w:p>
    <w:p w14:paraId="18E303BF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81382BD" w14:textId="2598F7B0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 xml:space="preserve">9. Документом, подтверждающим выпуск товаров в соответствии с таможенной процедурой экспорта, является:  </w:t>
      </w:r>
    </w:p>
    <w:p w14:paraId="7F8B6A04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 xml:space="preserve">а) Декларация на товары с отметками таможенного органа «Выпуск разрешён»  </w:t>
      </w:r>
    </w:p>
    <w:p w14:paraId="226F2818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 xml:space="preserve">б) Транспортная накладная  </w:t>
      </w:r>
    </w:p>
    <w:p w14:paraId="1D61F850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 xml:space="preserve">в) Счёт-фактура  </w:t>
      </w:r>
    </w:p>
    <w:p w14:paraId="527FD580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 xml:space="preserve">г) Упаковочный лист  </w:t>
      </w:r>
    </w:p>
    <w:p w14:paraId="0D2E716F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9C2724F" w14:textId="053EA006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 xml:space="preserve">10. Функция «товарораспорядительный документ» в полной мере присуща:  </w:t>
      </w:r>
    </w:p>
    <w:p w14:paraId="43A82960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 xml:space="preserve">а) Авианакладной  </w:t>
      </w:r>
    </w:p>
    <w:p w14:paraId="25481833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 xml:space="preserve">б) Автомобильной накладной CMR  </w:t>
      </w:r>
    </w:p>
    <w:p w14:paraId="59D52B93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 xml:space="preserve">в) Морскому коносаменту  </w:t>
      </w:r>
    </w:p>
    <w:p w14:paraId="61F59871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 xml:space="preserve">г) Железнодорожной накладной  </w:t>
      </w:r>
    </w:p>
    <w:p w14:paraId="25E6126D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65D9E3E" w14:textId="2DEA35C6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 xml:space="preserve">11. Обязательным товаросопроводительным документом, содержащим сведения о цене, количестве и описании товара, является:  </w:t>
      </w:r>
    </w:p>
    <w:p w14:paraId="508C5E4E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 xml:space="preserve">а) Упаковочный лист  </w:t>
      </w:r>
    </w:p>
    <w:p w14:paraId="340AAF80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 xml:space="preserve">б) Коммерческий инвойс (счёт)  </w:t>
      </w:r>
    </w:p>
    <w:p w14:paraId="18FBA130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 xml:space="preserve">в) Сертификат происхождения  </w:t>
      </w:r>
    </w:p>
    <w:p w14:paraId="08636032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 xml:space="preserve">г) Транспортная накладная  </w:t>
      </w:r>
    </w:p>
    <w:p w14:paraId="676E02A7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268AC1F" w14:textId="48B018A3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 xml:space="preserve">12. Книжка МДП (TIR </w:t>
      </w:r>
      <w:proofErr w:type="spellStart"/>
      <w:r w:rsidRPr="00B37129">
        <w:rPr>
          <w:rFonts w:ascii="Times New Roman" w:hAnsi="Times New Roman" w:cs="Times New Roman"/>
          <w:sz w:val="28"/>
          <w:szCs w:val="28"/>
        </w:rPr>
        <w:t>Carnet</w:t>
      </w:r>
      <w:proofErr w:type="spellEnd"/>
      <w:r w:rsidRPr="00B37129">
        <w:rPr>
          <w:rFonts w:ascii="Times New Roman" w:hAnsi="Times New Roman" w:cs="Times New Roman"/>
          <w:sz w:val="28"/>
          <w:szCs w:val="28"/>
        </w:rPr>
        <w:t xml:space="preserve">) применяется для:  </w:t>
      </w:r>
    </w:p>
    <w:p w14:paraId="049FC083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 xml:space="preserve">а) Железнодорожных перевозок внутри страны  </w:t>
      </w:r>
    </w:p>
    <w:p w14:paraId="7FA90B40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 xml:space="preserve">б) Упрощённого таможенного транзита при международных автомобильных перевозках  </w:t>
      </w:r>
    </w:p>
    <w:p w14:paraId="132186C9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 xml:space="preserve">в) Подтверждения страхования ответственности перевозчика  </w:t>
      </w:r>
    </w:p>
    <w:p w14:paraId="083C90FC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 xml:space="preserve">г) Оформления авиационных чартеров  </w:t>
      </w:r>
    </w:p>
    <w:p w14:paraId="1692BD5C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677338A" w14:textId="7CB40708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 xml:space="preserve">13. Документ FIATA, выполняющий функцию сквозного коносамента для смешанной перевозки, называется:  </w:t>
      </w:r>
    </w:p>
    <w:p w14:paraId="7600E2B0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37129">
        <w:rPr>
          <w:rFonts w:ascii="Times New Roman" w:hAnsi="Times New Roman" w:cs="Times New Roman"/>
          <w:sz w:val="28"/>
          <w:szCs w:val="28"/>
        </w:rPr>
        <w:t>а</w:t>
      </w:r>
      <w:r w:rsidRPr="00B37129">
        <w:rPr>
          <w:rFonts w:ascii="Times New Roman" w:hAnsi="Times New Roman" w:cs="Times New Roman"/>
          <w:sz w:val="28"/>
          <w:szCs w:val="28"/>
          <w:lang w:val="en-US"/>
        </w:rPr>
        <w:t xml:space="preserve">) FCR (Forwarders Certificate of Receipt)  </w:t>
      </w:r>
    </w:p>
    <w:p w14:paraId="1B056490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37129">
        <w:rPr>
          <w:rFonts w:ascii="Times New Roman" w:hAnsi="Times New Roman" w:cs="Times New Roman"/>
          <w:sz w:val="28"/>
          <w:szCs w:val="28"/>
        </w:rPr>
        <w:t>б</w:t>
      </w:r>
      <w:r w:rsidRPr="00B37129">
        <w:rPr>
          <w:rFonts w:ascii="Times New Roman" w:hAnsi="Times New Roman" w:cs="Times New Roman"/>
          <w:sz w:val="28"/>
          <w:szCs w:val="28"/>
          <w:lang w:val="en-US"/>
        </w:rPr>
        <w:t xml:space="preserve">) FCT (Forwarders Certificate of Transport)  </w:t>
      </w:r>
    </w:p>
    <w:p w14:paraId="38EFAE12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37129">
        <w:rPr>
          <w:rFonts w:ascii="Times New Roman" w:hAnsi="Times New Roman" w:cs="Times New Roman"/>
          <w:sz w:val="28"/>
          <w:szCs w:val="28"/>
        </w:rPr>
        <w:t>в</w:t>
      </w:r>
      <w:r w:rsidRPr="00B37129">
        <w:rPr>
          <w:rFonts w:ascii="Times New Roman" w:hAnsi="Times New Roman" w:cs="Times New Roman"/>
          <w:sz w:val="28"/>
          <w:szCs w:val="28"/>
          <w:lang w:val="en-US"/>
        </w:rPr>
        <w:t xml:space="preserve">) FBL (Negotiable FIATA Multimodal Transport Bill of Lading)  </w:t>
      </w:r>
    </w:p>
    <w:p w14:paraId="5DF5C67F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>г) AWB (</w:t>
      </w:r>
      <w:proofErr w:type="spellStart"/>
      <w:r w:rsidRPr="00B37129">
        <w:rPr>
          <w:rFonts w:ascii="Times New Roman" w:hAnsi="Times New Roman" w:cs="Times New Roman"/>
          <w:sz w:val="28"/>
          <w:szCs w:val="28"/>
        </w:rPr>
        <w:t>Air</w:t>
      </w:r>
      <w:proofErr w:type="spellEnd"/>
      <w:r w:rsidRPr="00B371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7129">
        <w:rPr>
          <w:rFonts w:ascii="Times New Roman" w:hAnsi="Times New Roman" w:cs="Times New Roman"/>
          <w:sz w:val="28"/>
          <w:szCs w:val="28"/>
        </w:rPr>
        <w:t>Waybill</w:t>
      </w:r>
      <w:proofErr w:type="spellEnd"/>
      <w:r w:rsidRPr="00B37129">
        <w:rPr>
          <w:rFonts w:ascii="Times New Roman" w:hAnsi="Times New Roman" w:cs="Times New Roman"/>
          <w:sz w:val="28"/>
          <w:szCs w:val="28"/>
        </w:rPr>
        <w:t xml:space="preserve">)  </w:t>
      </w:r>
    </w:p>
    <w:p w14:paraId="38CCEDCC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8CB8806" w14:textId="12E0717F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 xml:space="preserve">14. При повреждении груза, обнаруженном при выдаче на железной дороге, составляется:  </w:t>
      </w:r>
    </w:p>
    <w:p w14:paraId="232E0AA6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 xml:space="preserve">а) Договор купли-продажи  </w:t>
      </w:r>
    </w:p>
    <w:p w14:paraId="385B4C2F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 xml:space="preserve">б) Упаковочный лист  </w:t>
      </w:r>
    </w:p>
    <w:p w14:paraId="218684A9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 xml:space="preserve">в) Коммерческий акт  </w:t>
      </w:r>
    </w:p>
    <w:p w14:paraId="409C1C37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 xml:space="preserve">г) Грузовой манифест  </w:t>
      </w:r>
    </w:p>
    <w:p w14:paraId="3FF33522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04A3A4E" w14:textId="004F5DFF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>15. Электронная транспортная накладная (</w:t>
      </w:r>
      <w:proofErr w:type="spellStart"/>
      <w:r w:rsidRPr="00B37129">
        <w:rPr>
          <w:rFonts w:ascii="Times New Roman" w:hAnsi="Times New Roman" w:cs="Times New Roman"/>
          <w:sz w:val="28"/>
          <w:szCs w:val="28"/>
        </w:rPr>
        <w:t>ЭТрН</w:t>
      </w:r>
      <w:proofErr w:type="spellEnd"/>
      <w:r w:rsidRPr="00B37129">
        <w:rPr>
          <w:rFonts w:ascii="Times New Roman" w:hAnsi="Times New Roman" w:cs="Times New Roman"/>
          <w:sz w:val="28"/>
          <w:szCs w:val="28"/>
        </w:rPr>
        <w:t xml:space="preserve">) в России формируется в государственной информационной системе:  </w:t>
      </w:r>
    </w:p>
    <w:p w14:paraId="6AABC42F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 xml:space="preserve">а) «Платон»  </w:t>
      </w:r>
    </w:p>
    <w:p w14:paraId="5A923708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 xml:space="preserve">б) ГИС ЭПД (Государственная информационная система электронных перевозочных документов)  </w:t>
      </w:r>
    </w:p>
    <w:p w14:paraId="365626B1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 xml:space="preserve">в) Портал Госуслуг  </w:t>
      </w:r>
    </w:p>
    <w:p w14:paraId="221726A6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 xml:space="preserve">г) Автоматизированная система «ЭРА-ГЛОНАСС»  </w:t>
      </w:r>
    </w:p>
    <w:p w14:paraId="6D3279AE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472FE13" w14:textId="42BB62ED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 xml:space="preserve">16. Документ, который подтверждает страну происхождения товара для таможенных целей:  </w:t>
      </w:r>
    </w:p>
    <w:p w14:paraId="0A89EE1B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 xml:space="preserve">а) Инвойс  </w:t>
      </w:r>
    </w:p>
    <w:p w14:paraId="6880350F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 xml:space="preserve">б) Сертификат происхождения  </w:t>
      </w:r>
    </w:p>
    <w:p w14:paraId="19806395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 xml:space="preserve">в) Коносамент  </w:t>
      </w:r>
    </w:p>
    <w:p w14:paraId="6D790A84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 xml:space="preserve">г) Акт приёмки  </w:t>
      </w:r>
    </w:p>
    <w:p w14:paraId="57955D6B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82DA844" w14:textId="04833E6E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 xml:space="preserve">17. При внутренней автомобильной перевозке путевой лист:  </w:t>
      </w:r>
    </w:p>
    <w:p w14:paraId="2A9CFCBD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 xml:space="preserve">а) Не является обязательным  </w:t>
      </w:r>
    </w:p>
    <w:p w14:paraId="6398B5CD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 xml:space="preserve">б) Обязателен для учёта работы водителя и транспортного средства, оформляется по установленной форме  </w:t>
      </w:r>
    </w:p>
    <w:p w14:paraId="74835CD3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 xml:space="preserve">в) Заменяет транспортную накладную  </w:t>
      </w:r>
    </w:p>
    <w:p w14:paraId="6E8D054F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 xml:space="preserve">г) Требуется только при перевозке опасных грузов  </w:t>
      </w:r>
    </w:p>
    <w:p w14:paraId="33118EE0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3A305DC" w14:textId="7E40BBCD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 xml:space="preserve">18. Документ, содержащий подробный перечень грузовых мест с указанием веса и размеров каждого места, называется:  </w:t>
      </w:r>
    </w:p>
    <w:p w14:paraId="6024A4A2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 xml:space="preserve">а) Сертификат качества  </w:t>
      </w:r>
    </w:p>
    <w:p w14:paraId="78CCC147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 xml:space="preserve">б) Упаковочный лист  </w:t>
      </w:r>
    </w:p>
    <w:p w14:paraId="621FA63E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 xml:space="preserve">в) Счёт-фактура  </w:t>
      </w:r>
    </w:p>
    <w:p w14:paraId="733996A0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 xml:space="preserve">г) Транспортная накладная  </w:t>
      </w:r>
    </w:p>
    <w:p w14:paraId="03546CDE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8E1341F" w14:textId="65F2B856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 xml:space="preserve">19. Ордерный коносамент передаётся:  </w:t>
      </w:r>
    </w:p>
    <w:p w14:paraId="5299814C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lastRenderedPageBreak/>
        <w:t xml:space="preserve">а) Простым вручением  </w:t>
      </w:r>
    </w:p>
    <w:p w14:paraId="66023100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 xml:space="preserve">б) По именной передаточной надписи  </w:t>
      </w:r>
    </w:p>
    <w:p w14:paraId="7D1EB885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 xml:space="preserve">в) По передаточной надписи (индоссаменту)  </w:t>
      </w:r>
    </w:p>
    <w:p w14:paraId="1E99B942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 xml:space="preserve">г) Только с согласия капитана судна  </w:t>
      </w:r>
    </w:p>
    <w:p w14:paraId="0A64E508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BB32564" w14:textId="4D465CC1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 xml:space="preserve">20. Документооборот при мультимодальной перевозке может регулироваться правилами:  </w:t>
      </w:r>
    </w:p>
    <w:p w14:paraId="02AE6418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 xml:space="preserve">а) Только КДПГ  </w:t>
      </w:r>
    </w:p>
    <w:p w14:paraId="77429C5F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 xml:space="preserve">б) Только </w:t>
      </w:r>
      <w:proofErr w:type="spellStart"/>
      <w:r w:rsidRPr="00B37129">
        <w:rPr>
          <w:rFonts w:ascii="Times New Roman" w:hAnsi="Times New Roman" w:cs="Times New Roman"/>
          <w:sz w:val="28"/>
          <w:szCs w:val="28"/>
        </w:rPr>
        <w:t>Монреальской</w:t>
      </w:r>
      <w:proofErr w:type="spellEnd"/>
      <w:r w:rsidRPr="00B37129">
        <w:rPr>
          <w:rFonts w:ascii="Times New Roman" w:hAnsi="Times New Roman" w:cs="Times New Roman"/>
          <w:sz w:val="28"/>
          <w:szCs w:val="28"/>
        </w:rPr>
        <w:t xml:space="preserve"> конвенции  </w:t>
      </w:r>
    </w:p>
    <w:p w14:paraId="5175D66F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 xml:space="preserve">в) ЮНКТАД/МТП (Правила для документов смешанных перевозок)  </w:t>
      </w:r>
    </w:p>
    <w:p w14:paraId="30B03CB6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 xml:space="preserve">г) Исключительно национальным законодательством порта выгрузки  </w:t>
      </w:r>
    </w:p>
    <w:p w14:paraId="7415EA88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7D34A23" w14:textId="6F644832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 xml:space="preserve">21. Для перевозки скоропортящихся пищевых грузов в международном автомобильном сообщении требуется свидетельство:  </w:t>
      </w:r>
    </w:p>
    <w:p w14:paraId="4FCFD564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 xml:space="preserve">а) ДОПОГ  </w:t>
      </w:r>
    </w:p>
    <w:p w14:paraId="733A2B67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 xml:space="preserve">б) СПС (АТР) о соответствии транспортного средства нормам Соглашения АТР  </w:t>
      </w:r>
    </w:p>
    <w:p w14:paraId="199FF29A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 xml:space="preserve">в) Сертификат СМГС  </w:t>
      </w:r>
    </w:p>
    <w:p w14:paraId="282AABE1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 xml:space="preserve">г) Фитосанитарный сертификат  </w:t>
      </w:r>
    </w:p>
    <w:p w14:paraId="0810977B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F8FFAC2" w14:textId="339B1085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>22. Авианакладная (</w:t>
      </w:r>
      <w:proofErr w:type="spellStart"/>
      <w:r w:rsidRPr="00B37129">
        <w:rPr>
          <w:rFonts w:ascii="Times New Roman" w:hAnsi="Times New Roman" w:cs="Times New Roman"/>
          <w:sz w:val="28"/>
          <w:szCs w:val="28"/>
        </w:rPr>
        <w:t>Air</w:t>
      </w:r>
      <w:proofErr w:type="spellEnd"/>
      <w:r w:rsidRPr="00B371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7129">
        <w:rPr>
          <w:rFonts w:ascii="Times New Roman" w:hAnsi="Times New Roman" w:cs="Times New Roman"/>
          <w:sz w:val="28"/>
          <w:szCs w:val="28"/>
        </w:rPr>
        <w:t>Waybill</w:t>
      </w:r>
      <w:proofErr w:type="spellEnd"/>
      <w:r w:rsidRPr="00B37129">
        <w:rPr>
          <w:rFonts w:ascii="Times New Roman" w:hAnsi="Times New Roman" w:cs="Times New Roman"/>
          <w:sz w:val="28"/>
          <w:szCs w:val="28"/>
        </w:rPr>
        <w:t xml:space="preserve">) в отличие от коносамента:  </w:t>
      </w:r>
    </w:p>
    <w:p w14:paraId="5193E3B4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 xml:space="preserve">а) Является товарораспорядительным документом  </w:t>
      </w:r>
    </w:p>
    <w:p w14:paraId="31935AB7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 xml:space="preserve">б) Не является товарораспорядительным документом и обращается как необоротный документ  </w:t>
      </w:r>
    </w:p>
    <w:p w14:paraId="7D0BEEA6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 xml:space="preserve">в) Используется только для пассажирских перевозок  </w:t>
      </w:r>
    </w:p>
    <w:p w14:paraId="4DCF6425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 xml:space="preserve">г) Должна быть именной и ордерной одновременно  </w:t>
      </w:r>
    </w:p>
    <w:p w14:paraId="2841B370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B8D9AEA" w14:textId="40D9A39F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 xml:space="preserve">23. Документом, удостоверяющим факт оказания транспортно-экспедиторских услуг, чаще всего является:  </w:t>
      </w:r>
    </w:p>
    <w:p w14:paraId="027CEAF0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 xml:space="preserve">а) Транспортная накладная  </w:t>
      </w:r>
    </w:p>
    <w:p w14:paraId="0D4DAA45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 xml:space="preserve">б) Экспедиторская расписка (FCR) / экспедиторский сертификат  </w:t>
      </w:r>
    </w:p>
    <w:p w14:paraId="7789CB91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 xml:space="preserve">в) Договор купли-продажи  </w:t>
      </w:r>
    </w:p>
    <w:p w14:paraId="7C537AD7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 xml:space="preserve">г) Таможенная декларация  </w:t>
      </w:r>
    </w:p>
    <w:p w14:paraId="299C80DE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4089ABD" w14:textId="1CFE0966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 xml:space="preserve">24. При внешнеторговой поставке на условиях CIF (Инкотермс 2020) продавец обязан предоставить покупателю:  </w:t>
      </w:r>
    </w:p>
    <w:p w14:paraId="0925398D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 xml:space="preserve">а) Только инвойс  </w:t>
      </w:r>
    </w:p>
    <w:p w14:paraId="741D977B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 xml:space="preserve">б) Инвойс и упаковочный лист  </w:t>
      </w:r>
    </w:p>
    <w:p w14:paraId="2E4951E8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 xml:space="preserve">в) Инвойс, транспортный документ и страховой полис  </w:t>
      </w:r>
    </w:p>
    <w:p w14:paraId="4DD7ED73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 xml:space="preserve">г) Только извещение об отгрузке  </w:t>
      </w:r>
    </w:p>
    <w:p w14:paraId="6FBD2925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6E05E83" w14:textId="2357C9DF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 xml:space="preserve">25. Каким документом оформляется передача груза от перевозчика получателю на автомобильной перевозке?  </w:t>
      </w:r>
    </w:p>
    <w:p w14:paraId="28969AFD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 xml:space="preserve">а) Только путевым листом  </w:t>
      </w:r>
    </w:p>
    <w:p w14:paraId="34C495C1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 xml:space="preserve">б) Транспортной накладной с отметкой о получении груза  </w:t>
      </w:r>
    </w:p>
    <w:p w14:paraId="74B1EFA4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 xml:space="preserve">в) Счётом-фактурой  </w:t>
      </w:r>
    </w:p>
    <w:p w14:paraId="6943614F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lastRenderedPageBreak/>
        <w:t xml:space="preserve">г) Договором аренды  </w:t>
      </w:r>
    </w:p>
    <w:p w14:paraId="58F901EB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3CB75A0" w14:textId="5E6ECCFD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 xml:space="preserve">26. Сертификат качества или удостоверение о качестве выдаётся:  </w:t>
      </w:r>
    </w:p>
    <w:p w14:paraId="0F6C727D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 xml:space="preserve">а) Таможенным органом  </w:t>
      </w:r>
    </w:p>
    <w:p w14:paraId="4E70E673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 xml:space="preserve">б) Перевозчиком  </w:t>
      </w:r>
    </w:p>
    <w:p w14:paraId="5C4596BA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 xml:space="preserve">в) Грузоотправителем/производителем или уполномоченной лабораторией  </w:t>
      </w:r>
    </w:p>
    <w:p w14:paraId="74B44C50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 xml:space="preserve">г) Транспортно-экспедиторской компанией  </w:t>
      </w:r>
    </w:p>
    <w:p w14:paraId="43E084BC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750FAE3" w14:textId="2C740B6C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 xml:space="preserve">27. Грузовой манифест в морской перевозке — это:  </w:t>
      </w:r>
    </w:p>
    <w:p w14:paraId="18B5A119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 xml:space="preserve">а) Документ, подтверждающий погрузку на борт  </w:t>
      </w:r>
    </w:p>
    <w:p w14:paraId="0AF1EC44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 xml:space="preserve">б) Сводная ведомость всех партий груза на борту судна  </w:t>
      </w:r>
    </w:p>
    <w:p w14:paraId="7E01984F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 xml:space="preserve">в) Аналог упаковочного листа  </w:t>
      </w:r>
    </w:p>
    <w:p w14:paraId="1E3D03F7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 xml:space="preserve">г) Коносаментная оговорка  </w:t>
      </w:r>
    </w:p>
    <w:p w14:paraId="25CDD88C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4F94714" w14:textId="0975F1E0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 xml:space="preserve">28. Срок хранения транспортных накладных для целей бухгалтерского и налогового учёта в РФ должен составлять не менее:  </w:t>
      </w:r>
    </w:p>
    <w:p w14:paraId="4A28AA66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 xml:space="preserve">а) 1 года  </w:t>
      </w:r>
    </w:p>
    <w:p w14:paraId="151DE69F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 xml:space="preserve">б) 3 лет  </w:t>
      </w:r>
    </w:p>
    <w:p w14:paraId="372513E4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 xml:space="preserve">в) 5 лет (по общему правилу)  </w:t>
      </w:r>
    </w:p>
    <w:p w14:paraId="2478D929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 xml:space="preserve">г) 10 лет  </w:t>
      </w:r>
    </w:p>
    <w:p w14:paraId="4B2FD0BC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467AA25" w14:textId="28846AE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 xml:space="preserve">29. Документ, подтверждающий принятие товаров на ответственное хранение складом общего пользования, — это:  </w:t>
      </w:r>
    </w:p>
    <w:p w14:paraId="17F70BDC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 xml:space="preserve">а) Акт выполненных работ  </w:t>
      </w:r>
    </w:p>
    <w:p w14:paraId="7B8EB628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 xml:space="preserve">б) Двойное или простое складское свидетельство  </w:t>
      </w:r>
    </w:p>
    <w:p w14:paraId="2CEF286D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 xml:space="preserve">в) Инвойс  </w:t>
      </w:r>
    </w:p>
    <w:p w14:paraId="6DEE95DE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 xml:space="preserve">г) Товарная накладная  </w:t>
      </w:r>
    </w:p>
    <w:p w14:paraId="74F84F4B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506F4F1" w14:textId="2E6B233D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 xml:space="preserve">30. Основное отличие транспортной накладной CMR от российской транспортной накладной заключается в:  </w:t>
      </w:r>
    </w:p>
    <w:p w14:paraId="26EFB5C4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 xml:space="preserve">а) Отсутствии юридической силы CMR  </w:t>
      </w:r>
    </w:p>
    <w:p w14:paraId="551CEF8D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 xml:space="preserve">б) CMR — это международный документ, составленный на основе Конвенции КДПГ, с собственными реквизитами и правилами  </w:t>
      </w:r>
    </w:p>
    <w:p w14:paraId="521EDBC6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 xml:space="preserve">в) CMR используется только при авиаперевозках  </w:t>
      </w:r>
    </w:p>
    <w:p w14:paraId="04E215D2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 xml:space="preserve">г) Никаких отличий нет  </w:t>
      </w:r>
    </w:p>
    <w:p w14:paraId="706BD96D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4811704" w14:textId="5A103C92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 xml:space="preserve">31. Фитосанитарный сертификат требуется при экспорте:  </w:t>
      </w:r>
    </w:p>
    <w:p w14:paraId="175CEE5D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 xml:space="preserve">а) Любых промышленных товаров  </w:t>
      </w:r>
    </w:p>
    <w:p w14:paraId="63312DA4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 xml:space="preserve">б) Товаров растительного происхождения, подконтрольных карантинному фитосанитарному надзору  </w:t>
      </w:r>
    </w:p>
    <w:p w14:paraId="70B0CDD5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 xml:space="preserve">в) Только металлопродукции  </w:t>
      </w:r>
    </w:p>
    <w:p w14:paraId="49D55BBD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 xml:space="preserve">г) Нефти и нефтепродуктов  </w:t>
      </w:r>
    </w:p>
    <w:p w14:paraId="192D4924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95B97A2" w14:textId="1A0242E8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 xml:space="preserve">32. Документооборот в логистике холодовой цепи обязательно включает:  </w:t>
      </w:r>
    </w:p>
    <w:p w14:paraId="49D50C79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lastRenderedPageBreak/>
        <w:t xml:space="preserve">а) Термограммы (записи температурного режима) и акты приёмки с фиксацией температуры  </w:t>
      </w:r>
    </w:p>
    <w:p w14:paraId="0D4C6A15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 xml:space="preserve">б) Только транспортную накладную  </w:t>
      </w:r>
    </w:p>
    <w:p w14:paraId="478E5F3A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 xml:space="preserve">в) Только путевой лист  </w:t>
      </w:r>
    </w:p>
    <w:p w14:paraId="3BE8055E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 xml:space="preserve">г) Договор страхования груза  </w:t>
      </w:r>
    </w:p>
    <w:p w14:paraId="4F22C40F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3C85649" w14:textId="5DB9D851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 xml:space="preserve">33. Претензия к перевозчику при международной автомобильной перевозке по CMR должна быть заявлена:  </w:t>
      </w:r>
    </w:p>
    <w:p w14:paraId="37A2D209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 xml:space="preserve">а) В день доставки  </w:t>
      </w:r>
    </w:p>
    <w:p w14:paraId="7C6080DA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 xml:space="preserve">б) В течение 7 дней с момента выдачи груза (при явных повреждениях) либо в письменном виде в установленные сроки  </w:t>
      </w:r>
    </w:p>
    <w:p w14:paraId="1D3C2661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 xml:space="preserve">в) Только в суде  </w:t>
      </w:r>
    </w:p>
    <w:p w14:paraId="27992265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 xml:space="preserve">г) Не позднее 3 лет  </w:t>
      </w:r>
    </w:p>
    <w:p w14:paraId="38C93749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A5AC702" w14:textId="1E322B53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 xml:space="preserve">34. Основная цель электронного обмена данными EDI в документообороте перевозок:  </w:t>
      </w:r>
    </w:p>
    <w:p w14:paraId="27916940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 xml:space="preserve">а) Уменьшение количества документов в бумажном архиве  </w:t>
      </w:r>
    </w:p>
    <w:p w14:paraId="107F87B5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 xml:space="preserve">б) Автоматизированный обмен структурированными данными между информационными системами контрагентов без ручного ввода  </w:t>
      </w:r>
    </w:p>
    <w:p w14:paraId="0785DADD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 xml:space="preserve">в) Создание дизайна бланков  </w:t>
      </w:r>
    </w:p>
    <w:p w14:paraId="3529F4ED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 xml:space="preserve">г) Увеличение числа посредников  </w:t>
      </w:r>
    </w:p>
    <w:p w14:paraId="25A5FB1F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B9F91A0" w14:textId="02A6EBA6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>35. В коносаменте грузоотправителем (</w:t>
      </w:r>
      <w:proofErr w:type="spellStart"/>
      <w:r w:rsidRPr="00B37129">
        <w:rPr>
          <w:rFonts w:ascii="Times New Roman" w:hAnsi="Times New Roman" w:cs="Times New Roman"/>
          <w:sz w:val="28"/>
          <w:szCs w:val="28"/>
        </w:rPr>
        <w:t>shipper</w:t>
      </w:r>
      <w:proofErr w:type="spellEnd"/>
      <w:r w:rsidRPr="00B37129">
        <w:rPr>
          <w:rFonts w:ascii="Times New Roman" w:hAnsi="Times New Roman" w:cs="Times New Roman"/>
          <w:sz w:val="28"/>
          <w:szCs w:val="28"/>
        </w:rPr>
        <w:t xml:space="preserve">) указывается:  </w:t>
      </w:r>
    </w:p>
    <w:p w14:paraId="63A29E42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 xml:space="preserve">а) Всегда перевозчик  </w:t>
      </w:r>
    </w:p>
    <w:p w14:paraId="709E42FC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 xml:space="preserve">б) Фактический продавец или уполномоченный экспедитор, сдающий груз к перевозке  </w:t>
      </w:r>
    </w:p>
    <w:p w14:paraId="027CA4CD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 xml:space="preserve">в) Только таможенный брокер  </w:t>
      </w:r>
    </w:p>
    <w:p w14:paraId="02CB0BA4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 xml:space="preserve">г) Сюрвейер  </w:t>
      </w:r>
    </w:p>
    <w:p w14:paraId="428A4AC7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E63879C" w14:textId="2EA7118F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 xml:space="preserve">36. Обязательные реквизиты транспортной накладной (РФ) не включают:  </w:t>
      </w:r>
    </w:p>
    <w:p w14:paraId="5B563D44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 xml:space="preserve">а) Наименование грузоотправителя и грузополучателя  </w:t>
      </w:r>
    </w:p>
    <w:p w14:paraId="1679527E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 xml:space="preserve">б) Характеристики груза (вес, количество мест)  </w:t>
      </w:r>
    </w:p>
    <w:p w14:paraId="475E57C2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 xml:space="preserve">в) Банковские реквизиты перевозчика  </w:t>
      </w:r>
    </w:p>
    <w:p w14:paraId="095978DC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 xml:space="preserve">г) Адрес места доставки  </w:t>
      </w:r>
    </w:p>
    <w:p w14:paraId="487E390F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D5FC393" w14:textId="341BE3FB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 xml:space="preserve">37. Документом, на основании которого перевозчик несёт ответственность за утрату, недостачу или повреждение груза, является:  </w:t>
      </w:r>
    </w:p>
    <w:p w14:paraId="4DDEB10C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 xml:space="preserve">а) Договор страхования  </w:t>
      </w:r>
    </w:p>
    <w:p w14:paraId="733B009C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 xml:space="preserve">б) Транспортная накладная (или коносамент) с отметками о принятии груза  </w:t>
      </w:r>
    </w:p>
    <w:p w14:paraId="3993460D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 xml:space="preserve">в) Таможенная декларация  </w:t>
      </w:r>
    </w:p>
    <w:p w14:paraId="61F3316B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 xml:space="preserve">г) Свидетельство о регистрации ТС  </w:t>
      </w:r>
    </w:p>
    <w:p w14:paraId="49BBC7C3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3EB6147" w14:textId="5416B58E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37129">
        <w:rPr>
          <w:rFonts w:ascii="Times New Roman" w:hAnsi="Times New Roman" w:cs="Times New Roman"/>
          <w:sz w:val="28"/>
          <w:szCs w:val="28"/>
          <w:lang w:val="en-US"/>
        </w:rPr>
        <w:t xml:space="preserve">38. </w:t>
      </w:r>
      <w:r w:rsidRPr="00B37129">
        <w:rPr>
          <w:rFonts w:ascii="Times New Roman" w:hAnsi="Times New Roman" w:cs="Times New Roman"/>
          <w:sz w:val="28"/>
          <w:szCs w:val="28"/>
        </w:rPr>
        <w:t>Функция</w:t>
      </w:r>
      <w:r w:rsidRPr="00B37129">
        <w:rPr>
          <w:rFonts w:ascii="Times New Roman" w:hAnsi="Times New Roman" w:cs="Times New Roman"/>
          <w:sz w:val="28"/>
          <w:szCs w:val="28"/>
          <w:lang w:val="en-US"/>
        </w:rPr>
        <w:t xml:space="preserve"> «FCR» (Forwarders Certificate of Receipt) </w:t>
      </w:r>
      <w:r w:rsidRPr="00B37129">
        <w:rPr>
          <w:rFonts w:ascii="Times New Roman" w:hAnsi="Times New Roman" w:cs="Times New Roman"/>
          <w:sz w:val="28"/>
          <w:szCs w:val="28"/>
        </w:rPr>
        <w:t>подтверждает</w:t>
      </w:r>
      <w:r w:rsidRPr="00B37129">
        <w:rPr>
          <w:rFonts w:ascii="Times New Roman" w:hAnsi="Times New Roman" w:cs="Times New Roman"/>
          <w:sz w:val="28"/>
          <w:szCs w:val="28"/>
          <w:lang w:val="en-US"/>
        </w:rPr>
        <w:t xml:space="preserve">:  </w:t>
      </w:r>
    </w:p>
    <w:p w14:paraId="37FFA7AD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 xml:space="preserve">а) Переход права собственности  </w:t>
      </w:r>
    </w:p>
    <w:p w14:paraId="65D06B3E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lastRenderedPageBreak/>
        <w:t xml:space="preserve">б) Принятие экспедитором груза под ответственность и необратимость отправки  </w:t>
      </w:r>
    </w:p>
    <w:p w14:paraId="07AF09BC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 xml:space="preserve">в) Выполнение таможенной очистки  </w:t>
      </w:r>
    </w:p>
    <w:p w14:paraId="61152D76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 xml:space="preserve">г) Полную оплату фрахта  </w:t>
      </w:r>
    </w:p>
    <w:p w14:paraId="047E029B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13695A6" w14:textId="5BAD63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 xml:space="preserve">39. Счёт-фактура в РФ выставляется:  </w:t>
      </w:r>
    </w:p>
    <w:p w14:paraId="5617FAFD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 xml:space="preserve">а) Только при розничной продаже  </w:t>
      </w:r>
    </w:p>
    <w:p w14:paraId="71049526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 xml:space="preserve">б) Исключительно для таможенных целей  </w:t>
      </w:r>
    </w:p>
    <w:p w14:paraId="57DAB975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 xml:space="preserve">в) При реализации товаров (услуг) для расчётов по НДС  </w:t>
      </w:r>
    </w:p>
    <w:p w14:paraId="7D0991A5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 xml:space="preserve">г) Только перевозчиком  </w:t>
      </w:r>
    </w:p>
    <w:p w14:paraId="73256677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CD8E96C" w14:textId="62177C48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 xml:space="preserve">40. Перспективным направлением цифровизации документации в международной логистике является:  </w:t>
      </w:r>
    </w:p>
    <w:p w14:paraId="287FE0BA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 xml:space="preserve">а) Отказ от любых документов  </w:t>
      </w:r>
    </w:p>
    <w:p w14:paraId="4CDD0939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 xml:space="preserve">б) Использование смарт-контрактов и блокчейн-реестров для электронных коносаментов  </w:t>
      </w:r>
    </w:p>
    <w:p w14:paraId="56B7BEC0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 xml:space="preserve">в) Перевод всех коносаментов в устную форму  </w:t>
      </w:r>
    </w:p>
    <w:p w14:paraId="621DACEE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 xml:space="preserve">г) Возврат к исключительно бумажному документообороту  </w:t>
      </w:r>
    </w:p>
    <w:p w14:paraId="278016DB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9971ED2" w14:textId="77777777" w:rsidR="00B37129" w:rsidRDefault="00B37129" w:rsidP="00B37129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ОТВЕТЫ К ТЕСТОВЫМ ЗАДАНИЯМ</w:t>
      </w:r>
    </w:p>
    <w:p w14:paraId="2D3446E9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7E22A26" w14:textId="77777777" w:rsidR="00B37129" w:rsidRDefault="00B3712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B3712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49912EA9" w14:textId="55862FBC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 xml:space="preserve">1. б  </w:t>
      </w:r>
    </w:p>
    <w:p w14:paraId="61B7F750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 xml:space="preserve">2. в  </w:t>
      </w:r>
    </w:p>
    <w:p w14:paraId="6997A3CF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 xml:space="preserve">3. б  </w:t>
      </w:r>
    </w:p>
    <w:p w14:paraId="79741DAE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 xml:space="preserve">4. б  </w:t>
      </w:r>
    </w:p>
    <w:p w14:paraId="76A3821C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 xml:space="preserve">5. в  </w:t>
      </w:r>
    </w:p>
    <w:p w14:paraId="79C36D92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 xml:space="preserve">6. б  </w:t>
      </w:r>
    </w:p>
    <w:p w14:paraId="594F6E8D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 xml:space="preserve">7. г  </w:t>
      </w:r>
    </w:p>
    <w:p w14:paraId="57510272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 xml:space="preserve">8. б  </w:t>
      </w:r>
    </w:p>
    <w:p w14:paraId="59D7A67B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 xml:space="preserve">9. а  </w:t>
      </w:r>
    </w:p>
    <w:p w14:paraId="411A9912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 xml:space="preserve">10. в  </w:t>
      </w:r>
    </w:p>
    <w:p w14:paraId="346F1FF5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 xml:space="preserve">11. б  </w:t>
      </w:r>
    </w:p>
    <w:p w14:paraId="2629BA5F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 xml:space="preserve">12. б  </w:t>
      </w:r>
    </w:p>
    <w:p w14:paraId="29DF831D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 xml:space="preserve">13. в  </w:t>
      </w:r>
    </w:p>
    <w:p w14:paraId="7EB5B6A3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 xml:space="preserve">14. в  </w:t>
      </w:r>
    </w:p>
    <w:p w14:paraId="1C2C99E1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 xml:space="preserve">15. б  </w:t>
      </w:r>
    </w:p>
    <w:p w14:paraId="76182094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 xml:space="preserve">16. б  </w:t>
      </w:r>
    </w:p>
    <w:p w14:paraId="16A6D7C9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 xml:space="preserve">17. б  </w:t>
      </w:r>
    </w:p>
    <w:p w14:paraId="19B103FA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 xml:space="preserve">18. б  </w:t>
      </w:r>
    </w:p>
    <w:p w14:paraId="36F24C03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 xml:space="preserve">19. в  </w:t>
      </w:r>
    </w:p>
    <w:p w14:paraId="085ADFCB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 xml:space="preserve">20. в  </w:t>
      </w:r>
    </w:p>
    <w:p w14:paraId="214813EA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 xml:space="preserve">21. б  </w:t>
      </w:r>
    </w:p>
    <w:p w14:paraId="6530AF14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 xml:space="preserve">22. б  </w:t>
      </w:r>
    </w:p>
    <w:p w14:paraId="17B97F84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 xml:space="preserve">23. б  </w:t>
      </w:r>
    </w:p>
    <w:p w14:paraId="425D97FC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 xml:space="preserve">24. в  </w:t>
      </w:r>
    </w:p>
    <w:p w14:paraId="1B9C7EC2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 xml:space="preserve">25. б  </w:t>
      </w:r>
    </w:p>
    <w:p w14:paraId="5DB794A4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 xml:space="preserve">26. в  </w:t>
      </w:r>
    </w:p>
    <w:p w14:paraId="66CE524F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 xml:space="preserve">27. б  </w:t>
      </w:r>
    </w:p>
    <w:p w14:paraId="14388EC6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 xml:space="preserve">28. в  </w:t>
      </w:r>
    </w:p>
    <w:p w14:paraId="58C9EEE3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 xml:space="preserve">29. б  </w:t>
      </w:r>
    </w:p>
    <w:p w14:paraId="55DE53B4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 xml:space="preserve">30. б  </w:t>
      </w:r>
    </w:p>
    <w:p w14:paraId="4D3E070B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 xml:space="preserve">31. б  </w:t>
      </w:r>
    </w:p>
    <w:p w14:paraId="5FA104FD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 xml:space="preserve">32. а  </w:t>
      </w:r>
    </w:p>
    <w:p w14:paraId="3F494F80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 xml:space="preserve">33. б  </w:t>
      </w:r>
    </w:p>
    <w:p w14:paraId="7A7BC96C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 xml:space="preserve">34. б  </w:t>
      </w:r>
    </w:p>
    <w:p w14:paraId="79EB31F6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 xml:space="preserve">35. б  </w:t>
      </w:r>
    </w:p>
    <w:p w14:paraId="4EE8A2C7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 xml:space="preserve">36. в  </w:t>
      </w:r>
    </w:p>
    <w:p w14:paraId="4DB9823C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 xml:space="preserve">37. б  </w:t>
      </w:r>
    </w:p>
    <w:p w14:paraId="60C61EBF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 xml:space="preserve">38. б  </w:t>
      </w:r>
    </w:p>
    <w:p w14:paraId="2B967542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 xml:space="preserve">39. в  </w:t>
      </w:r>
    </w:p>
    <w:p w14:paraId="461D1FB8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 xml:space="preserve">40. б  </w:t>
      </w:r>
    </w:p>
    <w:p w14:paraId="3B760589" w14:textId="77777777" w:rsidR="00B37129" w:rsidRDefault="00B3712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B37129" w:rsidSect="00B37129">
          <w:type w:val="continuous"/>
          <w:pgSz w:w="11906" w:h="16838"/>
          <w:pgMar w:top="1134" w:right="850" w:bottom="1134" w:left="1701" w:header="708" w:footer="708" w:gutter="0"/>
          <w:cols w:num="4" w:space="709"/>
          <w:docGrid w:linePitch="360"/>
        </w:sectPr>
      </w:pPr>
    </w:p>
    <w:p w14:paraId="6656BF44" w14:textId="5A77A80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FA97A8E" w14:textId="39BF2F50" w:rsidR="00B37129" w:rsidRDefault="00B3712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26A7FC56" w14:textId="77777777" w:rsidR="00B37129" w:rsidRDefault="00B37129" w:rsidP="00B3712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Примерные темы письменных работ</w:t>
      </w:r>
    </w:p>
    <w:p w14:paraId="15884617" w14:textId="77777777" w:rsidR="00B37129" w:rsidRDefault="00B37129" w:rsidP="00B3712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(эссе, рефератов, докладов, презентаций)</w:t>
      </w:r>
    </w:p>
    <w:p w14:paraId="7686E208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3CF8076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 xml:space="preserve">1. Роль документационного обеспечения в сквозных цепях поставок.  </w:t>
      </w:r>
    </w:p>
    <w:p w14:paraId="5A8017D7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 xml:space="preserve">2. Сравнительный анализ транспортной накладной РФ и CMR.  </w:t>
      </w:r>
    </w:p>
    <w:p w14:paraId="7F1F7F4C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 xml:space="preserve">3. Морской коносамент: правовая природа, виды и практика обращения.  </w:t>
      </w:r>
    </w:p>
    <w:p w14:paraId="766391E6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 xml:space="preserve">4. Электронная транспортная накладная: преимущества, риски и нормативная база.  </w:t>
      </w:r>
    </w:p>
    <w:p w14:paraId="64E1182B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 xml:space="preserve">5. Документооборот при мультимодальных перевозках: проблемы унификации.  </w:t>
      </w:r>
    </w:p>
    <w:p w14:paraId="2A690DF4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 xml:space="preserve">6. Международные экспедиторские документы FIATA и их роль в логистике.  </w:t>
      </w:r>
    </w:p>
    <w:p w14:paraId="1B490570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 xml:space="preserve">7. Современные EDI-решения для обмена транспортными документами.  </w:t>
      </w:r>
    </w:p>
    <w:p w14:paraId="5B624B37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 xml:space="preserve">8. Цифровой коносамент: технологии блокчейн и правовые барьеры.  </w:t>
      </w:r>
    </w:p>
    <w:p w14:paraId="64EC594A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 xml:space="preserve">9. Документальное оформление перевозок опасных грузов по ДОПОГ.  </w:t>
      </w:r>
    </w:p>
    <w:p w14:paraId="5A2A63B1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 xml:space="preserve">10. Инкотермс 2020 и их влияние на состав транспортно-сопроводительных документов.  </w:t>
      </w:r>
    </w:p>
    <w:p w14:paraId="273F6826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 xml:space="preserve">11. Порядок оформления книжки МДП (TIR </w:t>
      </w:r>
      <w:proofErr w:type="spellStart"/>
      <w:r w:rsidRPr="00B37129">
        <w:rPr>
          <w:rFonts w:ascii="Times New Roman" w:hAnsi="Times New Roman" w:cs="Times New Roman"/>
          <w:sz w:val="28"/>
          <w:szCs w:val="28"/>
        </w:rPr>
        <w:t>Carnet</w:t>
      </w:r>
      <w:proofErr w:type="spellEnd"/>
      <w:r w:rsidRPr="00B37129">
        <w:rPr>
          <w:rFonts w:ascii="Times New Roman" w:hAnsi="Times New Roman" w:cs="Times New Roman"/>
          <w:sz w:val="28"/>
          <w:szCs w:val="28"/>
        </w:rPr>
        <w:t xml:space="preserve">) при транзитных перевозках.  </w:t>
      </w:r>
    </w:p>
    <w:p w14:paraId="468B5465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 xml:space="preserve">12. Складская документация: от приёмочных актов до складских свидетельств.  </w:t>
      </w:r>
    </w:p>
    <w:p w14:paraId="6A317151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 xml:space="preserve">13. Электронный путевой лист: возможности и практика внедрения.  </w:t>
      </w:r>
    </w:p>
    <w:p w14:paraId="05D52D56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 xml:space="preserve">14. Документирование претензионной работы при утрате и повреждении груза.  </w:t>
      </w:r>
    </w:p>
    <w:p w14:paraId="5E38E7D9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 xml:space="preserve">15. Роль сюрвейерских отчётов в урегулировании страховых случаев.  </w:t>
      </w:r>
    </w:p>
    <w:p w14:paraId="48236518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 xml:space="preserve">16. Требования к документальному оформлению приёмки товаров по качеству и количеству.  </w:t>
      </w:r>
    </w:p>
    <w:p w14:paraId="10EA2DD3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 xml:space="preserve">17. Документационное обеспечение перевозок скоропортящихся грузов (АТР-свидетельство, термограмма).  </w:t>
      </w:r>
    </w:p>
    <w:p w14:paraId="02ECC4E8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 xml:space="preserve">18. Таможенная декларация на товары как ключевой элемент ВЭД-документооборота.  </w:t>
      </w:r>
    </w:p>
    <w:p w14:paraId="504AB62C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 xml:space="preserve">19. Авиагрузовая накладная: функции, реквизиты, особенности оборота.  </w:t>
      </w:r>
    </w:p>
    <w:p w14:paraId="5D3B912C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 xml:space="preserve">20. Железнодорожная накладная во внутригосударственном и международном сообщении (СМГС/ЦИМ).  </w:t>
      </w:r>
    </w:p>
    <w:p w14:paraId="513D3800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 xml:space="preserve">21. Упаковочный лист и инвойс: значение для логистических и таможенных процедур.  </w:t>
      </w:r>
    </w:p>
    <w:p w14:paraId="349A2ADF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 xml:space="preserve">22. Сертификация и декларирование соответствия: какие документы сопровождают груз.  </w:t>
      </w:r>
    </w:p>
    <w:p w14:paraId="196B82CF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 xml:space="preserve">23. Пути минимизации ошибок в оформлении транспортных документов.  </w:t>
      </w:r>
    </w:p>
    <w:p w14:paraId="4C85F1DA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 xml:space="preserve">24. Роль транспортной накладной в бухгалтерском и налоговом учёте.  </w:t>
      </w:r>
    </w:p>
    <w:p w14:paraId="499C09F1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 xml:space="preserve">25. Документальное сопровождение сборных грузов (LCL/LTL).  </w:t>
      </w:r>
    </w:p>
    <w:p w14:paraId="023642EA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 xml:space="preserve">26. Электронный архив транспортных документов: юридическая сила и безопасность.  </w:t>
      </w:r>
    </w:p>
    <w:p w14:paraId="76B1AEBF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 xml:space="preserve">27. Влияние санкционных ограничений на документационное обеспечение логистики.  </w:t>
      </w:r>
    </w:p>
    <w:p w14:paraId="1989C7E2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 xml:space="preserve">28. Документирование контейнерных перевозок: от букинг-ноты до коносамента.  </w:t>
      </w:r>
    </w:p>
    <w:p w14:paraId="55C5E245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lastRenderedPageBreak/>
        <w:t xml:space="preserve">29. Правовое регулирование договора транспортной экспедиции и сопутствующих документов.  </w:t>
      </w:r>
    </w:p>
    <w:p w14:paraId="2386619C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 xml:space="preserve">30. Упрощённый таможенный транзит и его документационное сопровождение.  </w:t>
      </w:r>
    </w:p>
    <w:p w14:paraId="755B70C4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 xml:space="preserve">31. Особенности документооборота в курьерских службах и экспресс-доставке.  </w:t>
      </w:r>
    </w:p>
    <w:p w14:paraId="5001F9E6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 xml:space="preserve">32. Документирование операций на консолидационном складе.  </w:t>
      </w:r>
    </w:p>
    <w:p w14:paraId="76DCDF91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 xml:space="preserve">33. Мобильные приложения и облачные сервисы для управления транспортными документами.  </w:t>
      </w:r>
    </w:p>
    <w:p w14:paraId="1279B6EA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 xml:space="preserve">34. Документы о происхождении товара: сертификат общей формы, форма А, EUR.1.  </w:t>
      </w:r>
    </w:p>
    <w:p w14:paraId="626ADE96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 xml:space="preserve">35. Роль манифеста в морских и авиационных перевозках.  </w:t>
      </w:r>
    </w:p>
    <w:p w14:paraId="38EA0772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 xml:space="preserve">36. Стандарты GS1 в автоматической идентификации и документировании поставок.  </w:t>
      </w:r>
    </w:p>
    <w:p w14:paraId="052C69EC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 xml:space="preserve">37. Ветеринарные и фитосанитарные сертификаты в цепочках поставок продовольствия.  </w:t>
      </w:r>
    </w:p>
    <w:p w14:paraId="13E83D7B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 xml:space="preserve">38. Документационное обеспечение ответственного хранения на таможенном складе.  </w:t>
      </w:r>
    </w:p>
    <w:p w14:paraId="4F8B5ABE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 xml:space="preserve">39. Коммерческий акт на железнодорожном транспорте: правила оформления и значение.  </w:t>
      </w:r>
    </w:p>
    <w:p w14:paraId="30251AAB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>40. Трансформация документационного обеспечения логистики в условиях цифровой экономики.</w:t>
      </w:r>
    </w:p>
    <w:p w14:paraId="1A7CDE53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09926EC" w14:textId="27F58CFA" w:rsidR="00B37129" w:rsidRDefault="00B3712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122E1FE3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E770281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>### 30 тем курсовых работ</w:t>
      </w:r>
    </w:p>
    <w:p w14:paraId="56A7CF60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ECB7EC5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 xml:space="preserve">1. Анализ нормативно-правовой базы документационного обеспечения международных автомобильных перевозок грузов.  </w:t>
      </w:r>
    </w:p>
    <w:p w14:paraId="5FCB5728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 xml:space="preserve">2. Оптимизация документооборота транспортно-логистической компании путём внедрения электронной транспортной накладной.  </w:t>
      </w:r>
    </w:p>
    <w:p w14:paraId="16DB82A9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 xml:space="preserve">3. Сравнительный анализ морского коносамента и мультимодального коносамента FIATA.  </w:t>
      </w:r>
    </w:p>
    <w:p w14:paraId="7E303ACC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 xml:space="preserve">4. Организация электронного документооборота в цепях поставок с использованием EDI-провайдеров.  </w:t>
      </w:r>
    </w:p>
    <w:p w14:paraId="1B4CA729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 xml:space="preserve">5. Документационное обеспечение перевозок опасных грузов автомобильным транспортом: актуальные требования ДОПОГ.  </w:t>
      </w:r>
    </w:p>
    <w:p w14:paraId="66B59DE5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 xml:space="preserve">6. Проблемы и перспективы внедрения электронного коносамента в России и мире.  </w:t>
      </w:r>
    </w:p>
    <w:p w14:paraId="60773767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 xml:space="preserve">7. Документооборот склада ответственного хранения: моделирование и пути совершенствования.  </w:t>
      </w:r>
    </w:p>
    <w:p w14:paraId="589542C2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 xml:space="preserve">8. Разработка регламента документирования приёмки и отгрузки на распределительном центре.  </w:t>
      </w:r>
    </w:p>
    <w:p w14:paraId="712EEC3B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 xml:space="preserve">9. Особенности документального сопровождения мультимодальных контейнерных перевозок.  </w:t>
      </w:r>
    </w:p>
    <w:p w14:paraId="302998E2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 xml:space="preserve">10. Совершенствование претензионного документооборота транспортной компании.  </w:t>
      </w:r>
    </w:p>
    <w:p w14:paraId="46DADCE9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 xml:space="preserve">11. Анализ документооборота при организации международной перевозки с использованием книжки МДП.  </w:t>
      </w:r>
    </w:p>
    <w:p w14:paraId="5559A312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 xml:space="preserve">12. Документационное обеспечение закупочной логистики промышленного предприятия.  </w:t>
      </w:r>
    </w:p>
    <w:p w14:paraId="6AD1CDDE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 xml:space="preserve">13. Электронный путевой лист и транспортная накладная в системе государственного регулирования: правовые аспекты.  </w:t>
      </w:r>
    </w:p>
    <w:p w14:paraId="0DD39FCF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 xml:space="preserve">14. Документальное сопровождение таможенного транзита в ЕАЭС: анализ и пути ускорения.  </w:t>
      </w:r>
    </w:p>
    <w:p w14:paraId="0AA679E1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 xml:space="preserve">15. Роль и место документов FIATA в практике российских транспортно-экспедиторских компаний.  </w:t>
      </w:r>
    </w:p>
    <w:p w14:paraId="2F9E70A0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 xml:space="preserve">16. Оценка надёжности и юридической значимости электронных перевозочных документов в РФ и за рубежом.  </w:t>
      </w:r>
    </w:p>
    <w:p w14:paraId="6C537354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 xml:space="preserve">17. Документирование страховых случаев при перевозке грузов: анализ работы сюрвейера.  </w:t>
      </w:r>
    </w:p>
    <w:p w14:paraId="587C491D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 xml:space="preserve">18. Влияние санкционных режимов на состав и маршрут транспортно-сопроводительной документации.  </w:t>
      </w:r>
    </w:p>
    <w:p w14:paraId="330DB115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 xml:space="preserve">19. Автоматизация формирования транспортных и товаросопроводительных документов на базе 1С:Предприятие.  </w:t>
      </w:r>
    </w:p>
    <w:p w14:paraId="2F4F3A69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 xml:space="preserve">20. Документационное обеспечение перевозок скоропортящихся грузов автомобильным и морским транспортом.  </w:t>
      </w:r>
    </w:p>
    <w:p w14:paraId="0D80A870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 xml:space="preserve">21. Унификация транспортной документации в смешанном железнодорожно-водном сообщении.  </w:t>
      </w:r>
    </w:p>
    <w:p w14:paraId="1BCA7F72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lastRenderedPageBreak/>
        <w:t xml:space="preserve">22. Риски неполного или неверного оформления транспортной накладной и способы их минимизации.  </w:t>
      </w:r>
    </w:p>
    <w:p w14:paraId="4287F914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 xml:space="preserve">23. Сравнительный анализ документооборота при поставках на условиях FCA и DAP по Инкотермс 2020.  </w:t>
      </w:r>
    </w:p>
    <w:p w14:paraId="756B44BC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 xml:space="preserve">24. Документационное обеспечение экспорта зерна морским транспортом.  </w:t>
      </w:r>
    </w:p>
    <w:p w14:paraId="2F38E3A6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 xml:space="preserve">25. Оценка эффективности внедрения цифровой платформы обмена транспортными документами (на примере конкретной системы).  </w:t>
      </w:r>
    </w:p>
    <w:p w14:paraId="34821AD1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 xml:space="preserve">26. Документационное обеспечение сборных грузов (LCL) при морских контейнерных перевозках.  </w:t>
      </w:r>
    </w:p>
    <w:p w14:paraId="7E4B90A6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 xml:space="preserve">27. Организация документооборота при возвратной логистике (реверсной цепи поставок).  </w:t>
      </w:r>
    </w:p>
    <w:p w14:paraId="33F93082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 xml:space="preserve">28. Перспективы применения технологии блокчейн для создания доверенного реестра транспортных документов.  </w:t>
      </w:r>
    </w:p>
    <w:p w14:paraId="79C6BCF8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 xml:space="preserve">29. Документирование аутсорсинга логистических услуг: взаимодействие с 3PL-провайдером.  </w:t>
      </w:r>
    </w:p>
    <w:p w14:paraId="584C7CD0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>30. Сравнительный анализ национальных требований к оформлению авиагрузовой накладной (РФ, ЕС, США).</w:t>
      </w:r>
    </w:p>
    <w:p w14:paraId="095D282F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8370081" w14:textId="0E8A071F" w:rsidR="00B37129" w:rsidRDefault="00B3712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3E1AAAAF" w14:textId="77777777" w:rsidR="00B37129" w:rsidRDefault="00B37129" w:rsidP="00B3712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Примерные вопросы</w:t>
      </w:r>
    </w:p>
    <w:p w14:paraId="2012DF88" w14:textId="77777777" w:rsidR="00B37129" w:rsidRDefault="00B37129" w:rsidP="00B3712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для проведения промежуточной аттестации по дисциплине</w:t>
      </w:r>
    </w:p>
    <w:p w14:paraId="1EAFB4F7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5BE28EB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>1. Понятие, цели и задачи документационного обеспечения транспортно-логистических процессов.</w:t>
      </w:r>
    </w:p>
    <w:p w14:paraId="7B349A41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>2. Классификация документов в транспортной логистике: по стадиям перевозки, функциям, юридической силе.</w:t>
      </w:r>
    </w:p>
    <w:p w14:paraId="2C0EBC7B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>3. Нормативно-правовое регулирование документирования грузовых перевозок в Российской Федерации.</w:t>
      </w:r>
    </w:p>
    <w:p w14:paraId="4C6180BE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>4. Транспортная накладная: форма, обязательные реквизиты, правила заполнения, юридическое значение.</w:t>
      </w:r>
    </w:p>
    <w:p w14:paraId="5394CC7E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>5. Договор перевозки груза и его соотношение с транспортной накладной.</w:t>
      </w:r>
    </w:p>
    <w:p w14:paraId="0E75E4F4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>6. Международная автомобильная накладная CMR: структура, сфера действия Конвенции КДПГ, ответственность перевозчика.</w:t>
      </w:r>
    </w:p>
    <w:p w14:paraId="5BDD1CB0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>7. Морской коносамент: понятие, основные функции, виды (именной, ордерный, на предъявителя).</w:t>
      </w:r>
    </w:p>
    <w:p w14:paraId="4CA260AE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>8. Ордерный коносамент и индоссамент: порядок передачи прав на груз.</w:t>
      </w:r>
    </w:p>
    <w:p w14:paraId="0C63DDC3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>9. Морская накладная (</w:t>
      </w:r>
      <w:proofErr w:type="spellStart"/>
      <w:r w:rsidRPr="00B37129">
        <w:rPr>
          <w:rFonts w:ascii="Times New Roman" w:hAnsi="Times New Roman" w:cs="Times New Roman"/>
          <w:sz w:val="28"/>
          <w:szCs w:val="28"/>
        </w:rPr>
        <w:t>Sea</w:t>
      </w:r>
      <w:proofErr w:type="spellEnd"/>
      <w:r w:rsidRPr="00B371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7129">
        <w:rPr>
          <w:rFonts w:ascii="Times New Roman" w:hAnsi="Times New Roman" w:cs="Times New Roman"/>
          <w:sz w:val="28"/>
          <w:szCs w:val="28"/>
        </w:rPr>
        <w:t>Waybill</w:t>
      </w:r>
      <w:proofErr w:type="spellEnd"/>
      <w:r w:rsidRPr="00B37129">
        <w:rPr>
          <w:rFonts w:ascii="Times New Roman" w:hAnsi="Times New Roman" w:cs="Times New Roman"/>
          <w:sz w:val="28"/>
          <w:szCs w:val="28"/>
        </w:rPr>
        <w:t>) и её отличия от коносамента.</w:t>
      </w:r>
    </w:p>
    <w:p w14:paraId="6E3F408D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>10. Железнодорожная транспортная накладная: внутригосударственные формы, накладная СМГС и накладная ЦИМ.</w:t>
      </w:r>
    </w:p>
    <w:p w14:paraId="0B9C62B4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>11. Авиагрузовая накладная (</w:t>
      </w:r>
      <w:proofErr w:type="spellStart"/>
      <w:r w:rsidRPr="00B37129">
        <w:rPr>
          <w:rFonts w:ascii="Times New Roman" w:hAnsi="Times New Roman" w:cs="Times New Roman"/>
          <w:sz w:val="28"/>
          <w:szCs w:val="28"/>
        </w:rPr>
        <w:t>Air</w:t>
      </w:r>
      <w:proofErr w:type="spellEnd"/>
      <w:r w:rsidRPr="00B371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7129">
        <w:rPr>
          <w:rFonts w:ascii="Times New Roman" w:hAnsi="Times New Roman" w:cs="Times New Roman"/>
          <w:sz w:val="28"/>
          <w:szCs w:val="28"/>
        </w:rPr>
        <w:t>Waybill</w:t>
      </w:r>
      <w:proofErr w:type="spellEnd"/>
      <w:r w:rsidRPr="00B37129">
        <w:rPr>
          <w:rFonts w:ascii="Times New Roman" w:hAnsi="Times New Roman" w:cs="Times New Roman"/>
          <w:sz w:val="28"/>
          <w:szCs w:val="28"/>
        </w:rPr>
        <w:t xml:space="preserve">): особенности, правовой статус, регулирование Варшавской и </w:t>
      </w:r>
      <w:proofErr w:type="spellStart"/>
      <w:r w:rsidRPr="00B37129">
        <w:rPr>
          <w:rFonts w:ascii="Times New Roman" w:hAnsi="Times New Roman" w:cs="Times New Roman"/>
          <w:sz w:val="28"/>
          <w:szCs w:val="28"/>
        </w:rPr>
        <w:t>Монреальской</w:t>
      </w:r>
      <w:proofErr w:type="spellEnd"/>
      <w:r w:rsidRPr="00B37129">
        <w:rPr>
          <w:rFonts w:ascii="Times New Roman" w:hAnsi="Times New Roman" w:cs="Times New Roman"/>
          <w:sz w:val="28"/>
          <w:szCs w:val="28"/>
        </w:rPr>
        <w:t xml:space="preserve"> конвенциями.</w:t>
      </w:r>
    </w:p>
    <w:p w14:paraId="09834213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>12. Документальное оформление мультимодальных перевозок: сквозной коносамент и требования ЮНКТАД/МТП.</w:t>
      </w:r>
    </w:p>
    <w:p w14:paraId="0B8A8C9A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>13. Документы FIATA: FBL, FCR, FCT и другие, их роль в экспедировании.</w:t>
      </w:r>
    </w:p>
    <w:p w14:paraId="5D409E2D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>14. Инкотермс 2020: влияние базисных условий поставки на состав передаваемых документов.</w:t>
      </w:r>
    </w:p>
    <w:p w14:paraId="130100F6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>15. Коммерческие товаросопроводительные документы: инвойс, упаковочный лист, спецификация, счёт-фактура.</w:t>
      </w:r>
    </w:p>
    <w:p w14:paraId="288EA453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 xml:space="preserve">16. Таможенные документы: декларация на товары, книжка МДП (TIR </w:t>
      </w:r>
      <w:proofErr w:type="spellStart"/>
      <w:r w:rsidRPr="00B37129">
        <w:rPr>
          <w:rFonts w:ascii="Times New Roman" w:hAnsi="Times New Roman" w:cs="Times New Roman"/>
          <w:sz w:val="28"/>
          <w:szCs w:val="28"/>
        </w:rPr>
        <w:t>Carnet</w:t>
      </w:r>
      <w:proofErr w:type="spellEnd"/>
      <w:r w:rsidRPr="00B37129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B37129">
        <w:rPr>
          <w:rFonts w:ascii="Times New Roman" w:hAnsi="Times New Roman" w:cs="Times New Roman"/>
          <w:sz w:val="28"/>
          <w:szCs w:val="28"/>
        </w:rPr>
        <w:t>карнет</w:t>
      </w:r>
      <w:proofErr w:type="spellEnd"/>
      <w:r w:rsidRPr="00B37129">
        <w:rPr>
          <w:rFonts w:ascii="Times New Roman" w:hAnsi="Times New Roman" w:cs="Times New Roman"/>
          <w:sz w:val="28"/>
          <w:szCs w:val="28"/>
        </w:rPr>
        <w:t xml:space="preserve"> АТА.</w:t>
      </w:r>
    </w:p>
    <w:p w14:paraId="0342DE85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>17. Сертификаты происхождения товара: виды, назначение, порядок получения.</w:t>
      </w:r>
    </w:p>
    <w:p w14:paraId="375F4A0A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>18. Страхование грузов: документальное оформление страхового покрытия и действия при страховом случае.</w:t>
      </w:r>
    </w:p>
    <w:p w14:paraId="5DA8448A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>19. Документационное обеспечение перевозок опасных грузов по ДОПОГ и МК МПОГ.</w:t>
      </w:r>
    </w:p>
    <w:p w14:paraId="1B5A49FC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>20. Фитосанитарные и ветеринарные сертификаты: требования при перевозках продовольствия и растительной продукции.</w:t>
      </w:r>
    </w:p>
    <w:p w14:paraId="71D518F1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>21. Складская документация: приходные ордера, складские квитанции, двойные и простые складские свидетельства.</w:t>
      </w:r>
    </w:p>
    <w:p w14:paraId="172AD1EF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>22. Оформление приёмки груза по количеству и качеству: акты приёмки, коммерческий акт, акт общей формы.</w:t>
      </w:r>
    </w:p>
    <w:p w14:paraId="60C48561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>23. Путевой лист: назначение, обязательные реквизиты, порядок оформления и учёта.</w:t>
      </w:r>
    </w:p>
    <w:p w14:paraId="6E3DC5FC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lastRenderedPageBreak/>
        <w:t>24. Электронный документооборот в транспортной логистике: электронная подпись, юридическая сила, форматы данных.</w:t>
      </w:r>
    </w:p>
    <w:p w14:paraId="52E13607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>25. Государственная информационная система электронных перевозочных документов (ГИС ЭПД) и электронная транспортная накладная.</w:t>
      </w:r>
    </w:p>
    <w:p w14:paraId="24E29086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>26. Электронный коносамент: технологии (блокчейн), правовые аспекты и мировые проекты.</w:t>
      </w:r>
    </w:p>
    <w:p w14:paraId="22CF2053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>27. Использование EDI (электронного обмена данными) и API для обмена документами между участниками логистической цепи.</w:t>
      </w:r>
    </w:p>
    <w:p w14:paraId="7F17DA1A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>28. Документирование претензионной и исковой работы при утрате, повреждении или просрочке доставки груза.</w:t>
      </w:r>
    </w:p>
    <w:p w14:paraId="5117225D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>29. Сроки хранения транспортных и товаросопроводительных документов, организация архива.</w:t>
      </w:r>
    </w:p>
    <w:p w14:paraId="7F8E1AA1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>30. Транспортная документация при контейнерных перевозках: букинг-нота, коносамент, манифест, штурманская расписка.</w:t>
      </w:r>
    </w:p>
    <w:p w14:paraId="09A09252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>31. Документальное оформление перевозок скоропортящихся грузов: свидетельство АТР, термограммы, контрольные листы температуры.</w:t>
      </w:r>
    </w:p>
    <w:p w14:paraId="701A02C4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>32. Сертификация и декларирование соответствия продукции: роль сертификатов и деклараций при перевозке.</w:t>
      </w:r>
    </w:p>
    <w:p w14:paraId="30E91523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>33. Документационное обеспечение перевозок сборных грузов (LCL/LTL): особенности консолидации.</w:t>
      </w:r>
    </w:p>
    <w:p w14:paraId="78DCA3F9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>34. Сравнительная характеристика документооборота при основных базисах поставки (FOB, CIF, DDP).</w:t>
      </w:r>
    </w:p>
    <w:p w14:paraId="438B7381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>35. Ответственность сторон за нарушения в оформлении транспортных документов: административная, гражданско-правовая, налоговая.</w:t>
      </w:r>
    </w:p>
    <w:p w14:paraId="57DAF301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>36. Сюрвейерский осмотр и отчёт: назначение, структура, использование при страховом урегулировании.</w:t>
      </w:r>
    </w:p>
    <w:p w14:paraId="05A950B9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>37. Документооборот в транспортно-экспедиционной компании: договор транспортной экспедиции, поручение экспедитору, экспедиторская расписка.</w:t>
      </w:r>
    </w:p>
    <w:p w14:paraId="4B8A7723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>38. Влияние цифровизации и санкционных ограничений на маршруты и состав логистической документации.</w:t>
      </w:r>
    </w:p>
    <w:p w14:paraId="1A0960D2" w14:textId="77777777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>39. Требования к оформлению документов при экспорте в страны ЕС и ЕАЭС: общее и различия.</w:t>
      </w:r>
    </w:p>
    <w:p w14:paraId="47F3E700" w14:textId="74D4095D" w:rsidR="00BE73D9" w:rsidRPr="00B37129" w:rsidRDefault="00BE73D9" w:rsidP="00B3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29">
        <w:rPr>
          <w:rFonts w:ascii="Times New Roman" w:hAnsi="Times New Roman" w:cs="Times New Roman"/>
          <w:sz w:val="28"/>
          <w:szCs w:val="28"/>
        </w:rPr>
        <w:t>40. Перспективы развития безбумажного документооборота в международных транспортных коридорах.</w:t>
      </w:r>
    </w:p>
    <w:sectPr w:rsidR="00BE73D9" w:rsidRPr="00B37129" w:rsidSect="00B3712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682"/>
    <w:rsid w:val="00492682"/>
    <w:rsid w:val="00A44F11"/>
    <w:rsid w:val="00B37129"/>
    <w:rsid w:val="00BE73D9"/>
    <w:rsid w:val="00F92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152DC"/>
  <w15:chartTrackingRefBased/>
  <w15:docId w15:val="{805AFC07-FE4B-49FD-8346-5DCC4E500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926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926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9268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926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9268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926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926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926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926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9268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9268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9268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9268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9268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9268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9268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9268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9268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926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926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926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926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926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9268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9268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9268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9268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9268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9268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29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55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7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7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6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3059</Words>
  <Characters>17441</Characters>
  <Application>Microsoft Office Word</Application>
  <DocSecurity>0</DocSecurity>
  <Lines>145</Lines>
  <Paragraphs>40</Paragraphs>
  <ScaleCrop>false</ScaleCrop>
  <Company/>
  <LinksUpToDate>false</LinksUpToDate>
  <CharactersWithSpaces>20460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Панько Юлия Владимировна</dc:creator>
  <cp:keywords/>
  <dc:description/>
  <cp:lastModifiedBy>Панько Юлия Владимировна</cp:lastModifiedBy>
  <cp:revision>4</cp:revision>
  <dcterms:created xsi:type="dcterms:W3CDTF">2026-07-13T10:04:00Z</dcterms:created>
  <dcterms:modified xsi:type="dcterms:W3CDTF">2026-07-13T20:55:00Z</dcterms:modified>
</cp:coreProperties>
</file>