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проведении  промежуточной аттестации </w:t>
      </w:r>
    </w:p>
    <w:p w14:paraId="02CFB8A5" w14:textId="7879B054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34CE8">
        <w:rPr>
          <w:rFonts w:ascii="Times New Roman" w:hAnsi="Times New Roman" w:cs="Times New Roman"/>
          <w:b/>
          <w:sz w:val="28"/>
          <w:szCs w:val="28"/>
        </w:rPr>
        <w:t>научно-исследовательской работе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4BBD35C" w14:textId="5894D905" w:rsidR="006A3098" w:rsidRPr="00494063" w:rsidRDefault="00494063" w:rsidP="00923A3D">
      <w:pPr>
        <w:spacing w:after="0" w:line="276" w:lineRule="auto"/>
        <w:rPr>
          <w:rFonts w:ascii="Times New Roman" w:hAnsi="Times New Roman" w:cs="Times New Roman"/>
        </w:rPr>
      </w:pPr>
      <w:r w:rsidRPr="004940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9572C9" w14:textId="77777777" w:rsidR="00494063" w:rsidRPr="00A35CE3" w:rsidRDefault="00494063" w:rsidP="00494063">
      <w:pPr>
        <w:pStyle w:val="210"/>
        <w:numPr>
          <w:ilvl w:val="12"/>
          <w:numId w:val="0"/>
        </w:numPr>
        <w:ind w:firstLine="709"/>
        <w:jc w:val="center"/>
        <w:rPr>
          <w:b/>
          <w:szCs w:val="28"/>
        </w:rPr>
      </w:pPr>
      <w:r w:rsidRPr="00A35CE3">
        <w:rPr>
          <w:b/>
          <w:szCs w:val="28"/>
        </w:rPr>
        <w:t>Примеры вопросов зачета с оценкой в виде защиты отчета по практике</w:t>
      </w:r>
    </w:p>
    <w:p w14:paraId="1366237F" w14:textId="6334A37C" w:rsidR="00494063" w:rsidRDefault="00494063" w:rsidP="00494063">
      <w:pPr>
        <w:tabs>
          <w:tab w:val="right" w:leader="underscore" w:pos="8505"/>
        </w:tabs>
        <w:jc w:val="center"/>
        <w:rPr>
          <w:rFonts w:ascii="Times New Roman" w:hAnsi="Times New Roman" w:cs="Times New Roman"/>
          <w:b/>
          <w:bCs/>
          <w:spacing w:val="-4"/>
        </w:rPr>
      </w:pPr>
      <w:r w:rsidRPr="00BE12EA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77594140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1. Оценка влияния государственных программ на уровень социально-экономического развития муниципальных образований (на примере конкретного региона).  </w:t>
      </w:r>
    </w:p>
    <w:p w14:paraId="36292AF0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2. Анализ эффективности инструментов стимулирования инвестиционной привлекательности моногородов.  </w:t>
      </w:r>
    </w:p>
    <w:p w14:paraId="6461083C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3. Исследование механизмов поддержки малого и среднего предпринимательства на муниципальном уровне: проблемы и пути совершенствования.  </w:t>
      </w:r>
    </w:p>
    <w:p w14:paraId="7985D7D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4. Оценка результативности региональной кластерной политики как фактора экономического роста субъекта РФ.  </w:t>
      </w:r>
    </w:p>
    <w:p w14:paraId="1EB6181E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5. Роль муниципально-частного партнёрства в развитии социальной инфраструктуры: анализ практик и барьеров.  </w:t>
      </w:r>
    </w:p>
    <w:p w14:paraId="7FB67DD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6. Анализ финансовой устойчивости местных бюджетов и оценка эффективности выравнивания бюджетной обеспеченности.  </w:t>
      </w:r>
    </w:p>
    <w:p w14:paraId="1706CDF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7. Совершенствование механизмов инициативного бюджетирования как инструмента вовлечения граждан в бюджетный процесс.  </w:t>
      </w:r>
    </w:p>
    <w:p w14:paraId="7B18585D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8. Оценка эффективности налоговых расходов регионального бюджета: методика и направления оптимизации.  </w:t>
      </w:r>
    </w:p>
    <w:p w14:paraId="7002ED9B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9. Программно-целевое бюджетирование в муниципальном управлении: анализ практики и пути повышения результативности.  </w:t>
      </w:r>
    </w:p>
    <w:p w14:paraId="3B623D0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10. Долговая политика субъекта РФ: оценка рисков и разработка мер по повышению долговой устойчивости.  </w:t>
      </w:r>
    </w:p>
    <w:p w14:paraId="5A28A23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11. Оценка цифровой зрелости органов местного самоуправления и разработка рекомендаций по переходу к «умному городу».  </w:t>
      </w:r>
    </w:p>
    <w:p w14:paraId="63E41F2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12. Трансформация предоставления государственных и муниципальных услуг на основе принципов человекоцентричности.  </w:t>
      </w:r>
    </w:p>
    <w:p w14:paraId="418BE8B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13. Анализ эффективности внедрения платформенных решений в сфере общественного участия (на примере порталов «Активный гражданин», «Добродел» и аналогов).  </w:t>
      </w:r>
    </w:p>
    <w:p w14:paraId="2F6BB49C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14. Исследование проблем и перспектив использования технологий искусственного интеллекта в публичном управлении (на примере конкретной функции).  </w:t>
      </w:r>
    </w:p>
    <w:p w14:paraId="51FC8F60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15. Кибербезопасность и защита персональных данных в государственных информационных системах: оценка текущего состояния и нормативно-организационных решений.  </w:t>
      </w:r>
    </w:p>
    <w:p w14:paraId="7BB46332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16. Современные подходы к оценке профессиональных и личностных компетенций государственных гражданских служащих.  </w:t>
      </w:r>
    </w:p>
    <w:p w14:paraId="524E7C1C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17. Анализ системы мотивации и антикоррупционных стимулов на муниципальной службе.  </w:t>
      </w:r>
    </w:p>
    <w:p w14:paraId="27FC1D42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18. Проблемы привлечения и закрепления молодых специалистов в органах власти: диагностика и управленческие решения.  </w:t>
      </w:r>
    </w:p>
    <w:p w14:paraId="0DFB33B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19. Оценка эффективности системы непрерывного профессионального развития муниципальных служащих.  </w:t>
      </w:r>
    </w:p>
    <w:p w14:paraId="78FB9293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20. Формирование кадрового резерва на государственной службе: сравнительный анализ региональных моделей.  </w:t>
      </w:r>
    </w:p>
    <w:p w14:paraId="64666EF9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21. Оценка доступности и качества первичной медико-санитарной помощи в сельских муниципальных районах.  </w:t>
      </w:r>
    </w:p>
    <w:p w14:paraId="48BC2F22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22. Анализ эффективности механизмов подушевого финансирования в общем образовании на муниципальном уровне.  </w:t>
      </w:r>
    </w:p>
    <w:p w14:paraId="7668FBAC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23. Развитие сети организаций социального обслуживания в условиях децентрализации полномочий: региональный аспект.  </w:t>
      </w:r>
    </w:p>
    <w:p w14:paraId="348BEAE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24. Государственное регулирование рынка труда: анализ эффективности активных программ занятости на региональном уровне.  </w:t>
      </w:r>
    </w:p>
    <w:p w14:paraId="76BF454E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25. Оценка результативности жилищных программ для молодых семей на муниципальном уровне.  </w:t>
      </w:r>
    </w:p>
    <w:p w14:paraId="2D4A9E32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26. Анализ реализации программ комплексного развития территорий: правовые, организационные и финансовые аспекты.  </w:t>
      </w:r>
    </w:p>
    <w:p w14:paraId="22A3B191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27. Повышение качества городской среды через механизмы партисипаторного проектирования: муниципальный опыт.  </w:t>
      </w:r>
    </w:p>
    <w:p w14:paraId="7CDFD380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28. Оценка эффективности управления твердыми коммунальными отходами на региональном и муниципальном уровнях.  </w:t>
      </w:r>
    </w:p>
    <w:p w14:paraId="31C1CECF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29. Анализ тарифной политики в сфере жилищно-коммунального хозяйства и её социальных последствий.  </w:t>
      </w:r>
    </w:p>
    <w:p w14:paraId="7327B80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30. Модернизация коммунальной инфраструктуры с применением концессионных соглашений: риски и управленческие решения.  </w:t>
      </w:r>
    </w:p>
    <w:p w14:paraId="4E93DCA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31. Анализ транспарентности органов власти: оценка информационной открытости муниципальных администраций.  </w:t>
      </w:r>
    </w:p>
    <w:p w14:paraId="19849C6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32. Роль общественных советов в системе общественного контроля: оценка действенности и направления усиления влияния.  </w:t>
      </w:r>
    </w:p>
    <w:p w14:paraId="0F70FBEE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33. Анализ практики урегулирования конфликта интересов на муниципальной службе.  </w:t>
      </w:r>
    </w:p>
    <w:p w14:paraId="7C7D8B23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34. Оценка эффективности антикоррупционной экспертизы нормативных правовых актов на региональном уровне.  </w:t>
      </w:r>
    </w:p>
    <w:p w14:paraId="774FA7F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35. Влияние механизмов обратной связи (Платформа обратной связи, соцсети) на качество принятия управленческих решений.  </w:t>
      </w:r>
    </w:p>
    <w:p w14:paraId="1A04716F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36. Оценка эффективности межведомственного взаимодействия при предоставлении комплексных услуг по жизненным ситуациям.  </w:t>
      </w:r>
    </w:p>
    <w:p w14:paraId="378073E2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37. Анализ результатов реорганизации органов местного самоуправления (объединения поселений, преобразования районов в округа).  </w:t>
      </w:r>
    </w:p>
    <w:p w14:paraId="55EA86A8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38. Проблемы разграничения полномочий между уровнями публичной власти и механизмы их разрешения (на конкретном кейсе).  </w:t>
      </w:r>
    </w:p>
    <w:p w14:paraId="213CC7E7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39. Проектное управление в органах государственной власти: оценка зрелости проектных офисов и пути развития.  </w:t>
      </w:r>
    </w:p>
    <w:p w14:paraId="33CDBFD6" w14:textId="77777777" w:rsidR="00BE12EA" w:rsidRPr="00BE12EA" w:rsidRDefault="00BE12EA" w:rsidP="00BE12EA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E12EA">
        <w:rPr>
          <w:rFonts w:ascii="Times New Roman" w:hAnsi="Times New Roman" w:cs="Times New Roman"/>
          <w:spacing w:val="-4"/>
          <w:sz w:val="28"/>
          <w:szCs w:val="28"/>
        </w:rPr>
        <w:t xml:space="preserve">40. Оценка регулирующего воздействия как инструмент улучшения делового климата: анализ практики на региональном и муниципальном уровнях.  </w:t>
      </w:r>
    </w:p>
    <w:p w14:paraId="315B4748" w14:textId="27D23DEE" w:rsidR="00494063" w:rsidRPr="00BE12EA" w:rsidRDefault="00494063" w:rsidP="00494063">
      <w:pPr>
        <w:tabs>
          <w:tab w:val="right" w:leader="underscore" w:pos="8505"/>
        </w:tabs>
        <w:jc w:val="right"/>
        <w:rPr>
          <w:rFonts w:ascii="Times New Roman" w:hAnsi="Times New Roman" w:cs="Times New Roman"/>
          <w:b/>
          <w:bCs/>
          <w:spacing w:val="-4"/>
        </w:rPr>
      </w:pPr>
      <w:r w:rsidRPr="00BE12EA">
        <w:rPr>
          <w:rFonts w:ascii="Times New Roman" w:hAnsi="Times New Roman" w:cs="Times New Roman"/>
          <w:b/>
          <w:bCs/>
          <w:spacing w:val="-4"/>
        </w:rPr>
        <w:t xml:space="preserve"> </w:t>
      </w:r>
    </w:p>
    <w:p w14:paraId="15CA55D3" w14:textId="4597E71D" w:rsidR="00494063" w:rsidRPr="00BE12EA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BE12EA">
        <w:rPr>
          <w:rFonts w:ascii="Times New Roman" w:hAnsi="Times New Roman"/>
          <w:b/>
          <w:bCs/>
          <w:sz w:val="28"/>
          <w:szCs w:val="28"/>
        </w:rPr>
        <w:t>Направления  проведения анализа</w:t>
      </w:r>
      <w:r w:rsidR="00486EC7">
        <w:rPr>
          <w:rFonts w:ascii="Times New Roman" w:hAnsi="Times New Roman"/>
          <w:b/>
          <w:bCs/>
          <w:sz w:val="28"/>
          <w:szCs w:val="28"/>
        </w:rPr>
        <w:t xml:space="preserve"> для подготовки отчета</w:t>
      </w:r>
      <w:r w:rsidRPr="00BE12EA">
        <w:rPr>
          <w:rFonts w:ascii="Times New Roman" w:hAnsi="Times New Roman"/>
          <w:b/>
          <w:bCs/>
          <w:sz w:val="28"/>
          <w:szCs w:val="28"/>
        </w:rPr>
        <w:t xml:space="preserve"> в рамках НИР:</w:t>
      </w:r>
      <w:r w:rsidRPr="00BE12E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14:paraId="0E4B29C4" w14:textId="77777777" w:rsidR="00494063" w:rsidRPr="00494063" w:rsidRDefault="00494063" w:rsidP="00494063">
      <w:pPr>
        <w:pStyle w:val="11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94063">
        <w:rPr>
          <w:rFonts w:ascii="Times New Roman" w:hAnsi="Times New Roman"/>
          <w:i/>
          <w:sz w:val="28"/>
          <w:szCs w:val="28"/>
        </w:rPr>
        <w:t>Раздел 1</w:t>
      </w:r>
      <w:r w:rsidRPr="00494063">
        <w:rPr>
          <w:rFonts w:ascii="Times New Roman" w:hAnsi="Times New Roman"/>
          <w:sz w:val="28"/>
          <w:szCs w:val="28"/>
        </w:rPr>
        <w:t xml:space="preserve"> (теоретико-методологический) посвящен обоснованию методологии и методики исследования. В этом разделе целесообразно: систематизировать основные подходы к теоретическому осмыслению проблематики исследования и раскрыть их содержание; перечислить и раскрыть содержание теоретически и практически не решенных и дискуссионных проблем; провести анализ основных понятий и категорий, относящихся к тематике исследования; обозначить перспективные направления исследований по данной проблематике и т.п. Объем – не более 10 страниц.</w:t>
      </w:r>
    </w:p>
    <w:p w14:paraId="4EBF524F" w14:textId="36A20C61" w:rsidR="00BE12EA" w:rsidRPr="00BE12EA" w:rsidRDefault="00494063" w:rsidP="00BE12EA">
      <w:pPr>
        <w:tabs>
          <w:tab w:val="right" w:leader="underscore" w:pos="8505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4063">
        <w:rPr>
          <w:rFonts w:ascii="Times New Roman" w:hAnsi="Times New Roman" w:cs="Times New Roman"/>
          <w:i/>
          <w:sz w:val="28"/>
          <w:szCs w:val="28"/>
        </w:rPr>
        <w:t>Раздел 2</w:t>
      </w:r>
      <w:r w:rsidRPr="00494063">
        <w:rPr>
          <w:rFonts w:ascii="Times New Roman" w:hAnsi="Times New Roman" w:cs="Times New Roman"/>
          <w:sz w:val="28"/>
          <w:szCs w:val="28"/>
        </w:rPr>
        <w:t xml:space="preserve"> (аналитический) содержит всестороннюю характеристику объекта и предмета исследования. </w:t>
      </w:r>
      <w:r w:rsidR="00BE12EA">
        <w:rPr>
          <w:rFonts w:ascii="Times New Roman" w:hAnsi="Times New Roman" w:cs="Times New Roman"/>
          <w:sz w:val="28"/>
          <w:szCs w:val="28"/>
        </w:rPr>
        <w:t xml:space="preserve"> </w:t>
      </w:r>
      <w:r w:rsidR="00BE12EA" w:rsidRPr="00BE12EA">
        <w:rPr>
          <w:rFonts w:ascii="Times New Roman" w:hAnsi="Times New Roman" w:cs="Times New Roman"/>
          <w:iCs/>
          <w:sz w:val="28"/>
          <w:szCs w:val="28"/>
        </w:rPr>
        <w:t xml:space="preserve">Ниже представлены 12 ключевых аспектов, которые могут быть всесторонне раскрыты в аналитическом разделе (как правило, второй главе) </w:t>
      </w:r>
      <w:r w:rsidR="00BE12EA" w:rsidRPr="00BE12EA">
        <w:rPr>
          <w:rFonts w:ascii="Times New Roman" w:hAnsi="Times New Roman" w:cs="Times New Roman"/>
          <w:iCs/>
          <w:sz w:val="28"/>
          <w:szCs w:val="28"/>
        </w:rPr>
        <w:t>выпускной</w:t>
      </w:r>
      <w:r w:rsidR="00BE12EA" w:rsidRPr="00BE12EA">
        <w:rPr>
          <w:rFonts w:ascii="Times New Roman" w:hAnsi="Times New Roman" w:cs="Times New Roman"/>
          <w:iCs/>
          <w:sz w:val="28"/>
          <w:szCs w:val="28"/>
        </w:rPr>
        <w:t xml:space="preserve"> диссертации по направлению «Государственное и муниципальное управление». Конкретный набор зависит от темы</w:t>
      </w:r>
      <w:r w:rsidR="00BE12EA" w:rsidRPr="00BE12EA">
        <w:rPr>
          <w:rFonts w:ascii="Times New Roman" w:hAnsi="Times New Roman" w:cs="Times New Roman"/>
          <w:iCs/>
          <w:sz w:val="28"/>
          <w:szCs w:val="28"/>
        </w:rPr>
        <w:t xml:space="preserve"> выпускного исследования специалиста. </w:t>
      </w:r>
    </w:p>
    <w:p w14:paraId="2C21CBA5" w14:textId="71B61482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78E50AF" w14:textId="7B257BD1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1. Анализ нормативно-правовой базы</w:t>
      </w:r>
    </w:p>
    <w:p w14:paraId="19BA17F4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Исследование действующих федеральных, региональных и муниципальных правовых актов, регулирующих выбранную сферу. Оценивается их полнота, непротиворечивость, наличие пробелов и коллизий. Особое внимание уделяется тому, как положения законов реализуются на практике и достаточно ли подзаконных актов для их исполнения.</w:t>
      </w:r>
    </w:p>
    <w:p w14:paraId="13359EF8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B2053D5" w14:textId="58F15FFF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2. Организационно-функциональная структура управления</w:t>
      </w:r>
    </w:p>
    <w:p w14:paraId="723CCDA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Детальный разбор системы органов власти (или конкретного органа/учреждения), задействованных в объекте исследования. Анализируются:</w:t>
      </w:r>
    </w:p>
    <w:p w14:paraId="21AA26C8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распределение полномочий и зон ответственности;</w:t>
      </w:r>
    </w:p>
    <w:p w14:paraId="179E999B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иерархия, подчинённость и координация;</w:t>
      </w:r>
    </w:p>
    <w:p w14:paraId="3A7785B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исключение дублирования функций и выявление «провисающих» задач;</w:t>
      </w:r>
    </w:p>
    <w:p w14:paraId="165145A7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соответствие организационной структуры стратегическим целям (например, по процессной или проектной модели).</w:t>
      </w:r>
    </w:p>
    <w:p w14:paraId="46E9C36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0FB0970" w14:textId="293B1EB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3. Кадровый потенциал и кадровая политика</w:t>
      </w:r>
    </w:p>
    <w:p w14:paraId="09A5C331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lastRenderedPageBreak/>
        <w:t>Оценка количественных и качественных характеристик персонала (государственных/муниципальных служащих или работников подведомственных организаций):</w:t>
      </w:r>
    </w:p>
    <w:p w14:paraId="373DD670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штатная численность, укомплектованность, текучесть;</w:t>
      </w:r>
    </w:p>
    <w:p w14:paraId="5A5863E6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возрастной, образовательный, квалификационный срез;</w:t>
      </w:r>
    </w:p>
    <w:p w14:paraId="0BFD46E6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система мотивации, оплаты труда, повышения квалификации;</w:t>
      </w:r>
    </w:p>
    <w:p w14:paraId="0E959EF4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проблемы кадрового голода, «старения» кадров, низкой престижности службы.</w:t>
      </w:r>
    </w:p>
    <w:p w14:paraId="1CFFAF5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7F74985" w14:textId="4CFBC343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4. Финансово-экономический анализ и бюджетная обеспеченность</w:t>
      </w:r>
    </w:p>
    <w:p w14:paraId="04CC38C7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Анализ динамики и структуры бюджетных ассигнований на реализацию полномочий в изучаемой сфере:</w:t>
      </w:r>
    </w:p>
    <w:p w14:paraId="29AAEC62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объёмы финансирования из бюджетов разных уровней, доля внебюджетных источников;</w:t>
      </w:r>
    </w:p>
    <w:p w14:paraId="1D3B2706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исполнение бюджета по доходам и расходам, виды и причины отклонений;</w:t>
      </w:r>
    </w:p>
    <w:p w14:paraId="0154C63C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структура затрат (текущие/инвестиционные, оплата труда/материальные расходы);</w:t>
      </w:r>
    </w:p>
    <w:p w14:paraId="2C458FF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оценка эффективности бюджетных расходов (затраты на единицу услуги/функции, соотношение цена-качество).</w:t>
      </w:r>
    </w:p>
    <w:p w14:paraId="03B1AC7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232F2A4" w14:textId="6CF2F69C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5. Анализ программно-целевого управления</w:t>
      </w:r>
    </w:p>
    <w:p w14:paraId="07935AC1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Если в сфере реализуются государственные/муниципальные программы, национальные проекты, ведомственные проекты:</w:t>
      </w:r>
    </w:p>
    <w:p w14:paraId="3B0D5FC0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декомпозиция целей, задач, целевых показателей;</w:t>
      </w:r>
    </w:p>
    <w:p w14:paraId="0B1F2717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оценка достижения плановых значений индикаторов за ряд лет;</w:t>
      </w:r>
    </w:p>
    <w:p w14:paraId="452B44C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анализ обеспеченности программ ресурсами и их освоения;</w:t>
      </w:r>
    </w:p>
    <w:p w14:paraId="27FA01E0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выявление причин недостижения показателей и системных недостатков проектного управления.</w:t>
      </w:r>
    </w:p>
    <w:p w14:paraId="3D26ACB7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FBCC71E" w14:textId="1CB7C08C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6. Анализ результативности и эффективности деятельности</w:t>
      </w:r>
    </w:p>
    <w:p w14:paraId="582F8D2F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Количественная и качественная оценка конечных общественно значимых эффектов:</w:t>
      </w:r>
    </w:p>
    <w:p w14:paraId="33482243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расчёт показателей результативности (KPI), утверждённых указами, методиками, регламентами;</w:t>
      </w:r>
    </w:p>
    <w:p w14:paraId="7157242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сравнение с плановыми или нормативными значениями, со средними по региону/РФ;</w:t>
      </w:r>
    </w:p>
    <w:p w14:paraId="3713C942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использование методов оценки эффективности (Data Envelopment Analysis, индексный метод, балльно-рейтинговая оценка);</w:t>
      </w:r>
    </w:p>
    <w:p w14:paraId="0D1CCD02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выявление факторов, тормозящих рост результативности.</w:t>
      </w:r>
    </w:p>
    <w:p w14:paraId="24F18C03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195111A" w14:textId="5AB777EC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7. Оценка качества и доступности государственных (муниципальных) услуг</w:t>
      </w:r>
    </w:p>
    <w:p w14:paraId="2EBDED43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Исследование процесса предоставления услуг населению и бизнесу:</w:t>
      </w:r>
    </w:p>
    <w:p w14:paraId="4743DC83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соблюдение стандартов и административных регламентов (сроки, перечни документов, отказы);</w:t>
      </w:r>
    </w:p>
    <w:p w14:paraId="116F57C6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анализ востребованности услуг в динамике, сезонность;</w:t>
      </w:r>
    </w:p>
    <w:p w14:paraId="7786F3A9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доля услуг, оказанных в электронном виде, через МФЦ;</w:t>
      </w:r>
    </w:p>
    <w:p w14:paraId="0F3E8519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результаты опросов граждан, данные системы «Инцидент-менеджмент», мониторинга удовлетворённости.</w:t>
      </w:r>
    </w:p>
    <w:p w14:paraId="6C84B65E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A552D62" w14:textId="63325ABF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8. Анализ информационной открытости и цифровой зрелости</w:t>
      </w:r>
    </w:p>
    <w:p w14:paraId="70BADE8B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Включает аудит официального сайта, порталов, госпабликов в соцсетях:</w:t>
      </w:r>
    </w:p>
    <w:p w14:paraId="4BF86172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наполняемость, актуальность, удобство навигации, версии для слабовидящих;</w:t>
      </w:r>
    </w:p>
    <w:p w14:paraId="12BF426F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размещение открытых данных, сведений о нормотворчестве, отчётов;</w:t>
      </w:r>
    </w:p>
    <w:p w14:paraId="4E646501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уровень внедрения информационных систем (ГАС «Управление», СМЭВ, ведомственных платформ), интеграция данных;</w:t>
      </w:r>
    </w:p>
    <w:p w14:paraId="7C83B88B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уровень кибербезопасности и защищённости персональных данных.</w:t>
      </w:r>
    </w:p>
    <w:p w14:paraId="644B9CE3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3CE9BFD" w14:textId="11443348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9. Анализ межведомственного (межуровневого) взаимодействия</w:t>
      </w:r>
    </w:p>
    <w:p w14:paraId="6843057C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Как выстроены горизонтальные и вертикальные связи между органами власти, а также с институтами гражданского общества:</w:t>
      </w:r>
    </w:p>
    <w:p w14:paraId="6E36584F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регламентация информационного обмена и согласований;</w:t>
      </w:r>
    </w:p>
    <w:p w14:paraId="35E6CEFA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практика совместной работы (комиссии, рабочие группы, соглашения);</w:t>
      </w:r>
    </w:p>
    <w:p w14:paraId="729F257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типичные конфликты интересов и задержки «на стыке» ведомств;</w:t>
      </w:r>
    </w:p>
    <w:p w14:paraId="5E6CF522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оценка клиентоцентричности взаимодействия (принцип «одного окна»).</w:t>
      </w:r>
    </w:p>
    <w:p w14:paraId="15050E78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E08C165" w14:textId="462278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10. Анализ инфраструктуры и материально-технического обеспечения</w:t>
      </w:r>
    </w:p>
    <w:p w14:paraId="30F03B8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Особенно важен для сфер: ЖКХ, транспорт, образование, здравоохранение, культура:</w:t>
      </w:r>
    </w:p>
    <w:p w14:paraId="0B294D71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состояние основных фондов (износ, аварийность);</w:t>
      </w:r>
    </w:p>
    <w:p w14:paraId="4A8CAAE3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обеспеченность населения объектами инфраструктуры на 1/10 000 жителей;</w:t>
      </w:r>
    </w:p>
    <w:p w14:paraId="1184A13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инвестиции в модернизацию, уровень внедрения энергоэффективных технологий;</w:t>
      </w:r>
    </w:p>
    <w:p w14:paraId="2829207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сопоставление с нормативной потребностью и региональными нормативами.</w:t>
      </w:r>
    </w:p>
    <w:p w14:paraId="4CCEF6CE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ADF0F8F" w14:textId="109F90B9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E12EA">
        <w:rPr>
          <w:rFonts w:ascii="Times New Roman" w:hAnsi="Times New Roman" w:cs="Times New Roman"/>
          <w:iCs/>
          <w:sz w:val="28"/>
          <w:szCs w:val="28"/>
        </w:rPr>
        <w:t>11. Стратегический анализ внешней и внутренней среды (SWOT, PEST, SNW)</w:t>
      </w:r>
    </w:p>
    <w:p w14:paraId="1A64A8CF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Систематизация ранее собранного аналитического материала:</w:t>
      </w:r>
    </w:p>
    <w:p w14:paraId="22ACC818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lastRenderedPageBreak/>
        <w:t>- **SWOT-анализ**: сильные и слабые стороны системы, возможности и угрозы внешней среды (политические, экономические, социальные, технологические);</w:t>
      </w:r>
    </w:p>
    <w:p w14:paraId="598511B7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**PEST-анализ** макрофакторов, влияющих на объект управления (демография, санкции, господдержка);</w:t>
      </w:r>
    </w:p>
    <w:p w14:paraId="610580E1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ранжирование проблем по значимости и остроте, построение матрицы проблемного поля.</w:t>
      </w:r>
    </w:p>
    <w:p w14:paraId="2E441B9B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5368078" w14:textId="4999D9C4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 xml:space="preserve"> 12. Социологический анализ общественного мнения и вовлечённости граждан</w:t>
      </w:r>
    </w:p>
    <w:p w14:paraId="36EB40E7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Если тема допускает, проводятся эмпирические исследования:</w:t>
      </w:r>
    </w:p>
    <w:p w14:paraId="7A25B86E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анкетирование или интервьюирование целевых групп (жители, предприниматели, служащие);</w:t>
      </w:r>
    </w:p>
    <w:p w14:paraId="14213DFD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анализ тональности и содержания обращений граждан, петиций, жалоб;</w:t>
      </w:r>
    </w:p>
    <w:p w14:paraId="5A53C749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оценка развитости форм участия населения в управлении (инициативное бюджетирование, общественные советы, ТОС);</w:t>
      </w:r>
    </w:p>
    <w:p w14:paraId="5B111415" w14:textId="77777777" w:rsidR="00BE12EA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- выявление разрыва между ожиданиями граждан и фактическим положением дел.</w:t>
      </w:r>
    </w:p>
    <w:p w14:paraId="3E4E9AF9" w14:textId="5BFA35F7" w:rsidR="00494063" w:rsidRPr="00BE12EA" w:rsidRDefault="00BE12EA" w:rsidP="00BE12EA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2EA">
        <w:rPr>
          <w:rFonts w:ascii="Times New Roman" w:hAnsi="Times New Roman" w:cs="Times New Roman"/>
          <w:iCs/>
          <w:sz w:val="28"/>
          <w:szCs w:val="28"/>
        </w:rPr>
        <w:t>Каждый из этих аспектов раскрывается через призму выбранной проблемы исследования, позволяя в итоговой части диссертации обосновать авторские проектные, нормативные или управленческие рекомендации.</w:t>
      </w:r>
    </w:p>
    <w:p w14:paraId="39107687" w14:textId="77777777" w:rsidR="00FF1D8F" w:rsidRPr="00BE12EA" w:rsidRDefault="00FF1D8F" w:rsidP="00BE12EA">
      <w:pPr>
        <w:spacing w:after="0" w:line="276" w:lineRule="auto"/>
        <w:ind w:firstLine="709"/>
        <w:rPr>
          <w:rFonts w:ascii="Times New Roman" w:hAnsi="Times New Roman" w:cs="Times New Roman"/>
          <w:iCs/>
        </w:rPr>
      </w:pPr>
    </w:p>
    <w:sectPr w:rsidR="00FF1D8F" w:rsidRPr="00BE12EA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2A108A"/>
    <w:multiLevelType w:val="hybridMultilevel"/>
    <w:tmpl w:val="668204DC"/>
    <w:lvl w:ilvl="0" w:tplc="E4624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61FD1"/>
    <w:rsid w:val="002C43E6"/>
    <w:rsid w:val="00486EC7"/>
    <w:rsid w:val="00494063"/>
    <w:rsid w:val="005244BB"/>
    <w:rsid w:val="00524E5D"/>
    <w:rsid w:val="00634CE8"/>
    <w:rsid w:val="006A3098"/>
    <w:rsid w:val="007B06CD"/>
    <w:rsid w:val="00920FB6"/>
    <w:rsid w:val="00923A3D"/>
    <w:rsid w:val="00B158FA"/>
    <w:rsid w:val="00BB1CCF"/>
    <w:rsid w:val="00BE12EA"/>
    <w:rsid w:val="00D124EF"/>
    <w:rsid w:val="00F15290"/>
    <w:rsid w:val="00F73BC3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94063"/>
    <w:pPr>
      <w:widowControl w:val="0"/>
      <w:spacing w:after="0" w:line="420" w:lineRule="auto"/>
      <w:ind w:firstLine="420"/>
      <w:jc w:val="both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  <w:style w:type="paragraph" w:customStyle="1" w:styleId="210">
    <w:name w:val="Основной текст 21"/>
    <w:basedOn w:val="a"/>
    <w:rsid w:val="0049406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d">
    <w:name w:val="Hyperlink"/>
    <w:semiHidden/>
    <w:unhideWhenUsed/>
    <w:rsid w:val="00494063"/>
    <w:rPr>
      <w:color w:val="0000FF"/>
      <w:u w:val="single"/>
    </w:rPr>
  </w:style>
  <w:style w:type="paragraph" w:customStyle="1" w:styleId="31">
    <w:name w:val="Обычный3"/>
    <w:rsid w:val="00494063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4</cp:revision>
  <dcterms:created xsi:type="dcterms:W3CDTF">2026-07-15T17:45:00Z</dcterms:created>
  <dcterms:modified xsi:type="dcterms:W3CDTF">2026-07-15T17:53:00Z</dcterms:modified>
</cp:coreProperties>
</file>