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92B32" w14:textId="1DA273DF" w:rsidR="00E332A8" w:rsidRP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354926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264EC1">
        <w:rPr>
          <w:rFonts w:ascii="Times New Roman" w:hAnsi="Times New Roman"/>
          <w:b/>
          <w:iCs/>
          <w:sz w:val="28"/>
          <w:szCs w:val="28"/>
        </w:rPr>
        <w:t>промежуточной аттестации</w:t>
      </w:r>
      <w:r w:rsidRPr="00354926">
        <w:rPr>
          <w:rFonts w:ascii="Times New Roman" w:hAnsi="Times New Roman"/>
          <w:b/>
          <w:iCs/>
          <w:sz w:val="28"/>
          <w:szCs w:val="28"/>
        </w:rPr>
        <w:t xml:space="preserve"> по дисциплине </w:t>
      </w:r>
    </w:p>
    <w:p w14:paraId="7CEAE0F9" w14:textId="759CE98E" w:rsidR="00742E58" w:rsidRPr="00264EC1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264EC1">
        <w:rPr>
          <w:rFonts w:ascii="Times New Roman" w:hAnsi="Times New Roman"/>
          <w:b/>
          <w:iCs/>
          <w:sz w:val="28"/>
          <w:szCs w:val="28"/>
        </w:rPr>
        <w:t>«</w:t>
      </w:r>
      <w:r w:rsidR="00E024AF" w:rsidRPr="00264EC1">
        <w:rPr>
          <w:rFonts w:ascii="Times New Roman" w:hAnsi="Times New Roman"/>
          <w:b/>
          <w:noProof/>
          <w:sz w:val="28"/>
          <w:szCs w:val="28"/>
        </w:rPr>
        <w:t>Таможенные процедуры</w:t>
      </w:r>
      <w:r w:rsidRPr="00264EC1">
        <w:rPr>
          <w:rFonts w:ascii="Times New Roman" w:hAnsi="Times New Roman"/>
          <w:b/>
          <w:iCs/>
          <w:sz w:val="28"/>
          <w:szCs w:val="28"/>
        </w:rPr>
        <w:t>»</w:t>
      </w:r>
    </w:p>
    <w:p w14:paraId="59C5990E" w14:textId="77777777"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D6162F5" w14:textId="77777777" w:rsidR="0076613D" w:rsidRPr="000B1F83" w:rsidRDefault="0076613D" w:rsidP="00AF1126">
      <w:pPr>
        <w:spacing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 П</w:t>
      </w:r>
      <w:r w:rsidRPr="000B1F83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4</w:t>
      </w:r>
    </w:p>
    <w:p w14:paraId="4B97E60D" w14:textId="77777777" w:rsidR="0076613D" w:rsidRDefault="0076613D" w:rsidP="008750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0980A60" w14:textId="23AE11B2" w:rsidR="0087500D" w:rsidRPr="00565040" w:rsidRDefault="0087500D" w:rsidP="008750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65040">
        <w:rPr>
          <w:rFonts w:ascii="Times New Roman" w:hAnsi="Times New Roman"/>
          <w:b/>
          <w:bCs/>
          <w:sz w:val="28"/>
          <w:szCs w:val="28"/>
        </w:rPr>
        <w:t xml:space="preserve">Семестр </w:t>
      </w:r>
      <w:r w:rsidR="006F5A32">
        <w:rPr>
          <w:rFonts w:ascii="Times New Roman" w:hAnsi="Times New Roman"/>
          <w:b/>
          <w:bCs/>
          <w:sz w:val="28"/>
          <w:szCs w:val="28"/>
        </w:rPr>
        <w:t>6</w:t>
      </w:r>
    </w:p>
    <w:p w14:paraId="3501C965" w14:textId="77777777" w:rsidR="0087500D" w:rsidRPr="0087500D" w:rsidRDefault="0087500D" w:rsidP="002D5DA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0C8D9DCF" w14:textId="4C50884F" w:rsidR="002D5DAA" w:rsidRDefault="0087500D" w:rsidP="002D5DA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7500D">
        <w:rPr>
          <w:rFonts w:ascii="Times New Roman" w:hAnsi="Times New Roman"/>
          <w:iCs/>
          <w:sz w:val="28"/>
          <w:szCs w:val="28"/>
        </w:rPr>
        <w:t>При проведении промежуточной аттестации (экзамен) обучающемуся предлагается ответить на 2 вопроса из экзаменационного билета.</w:t>
      </w:r>
    </w:p>
    <w:p w14:paraId="295A4AC9" w14:textId="77777777" w:rsidR="0087500D" w:rsidRDefault="0087500D" w:rsidP="002D5DA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0E0716A6" w14:textId="7A43B53E" w:rsidR="0087500D" w:rsidRPr="000646C7" w:rsidRDefault="0087500D" w:rsidP="0087500D">
      <w:pPr>
        <w:tabs>
          <w:tab w:val="left" w:pos="1134"/>
        </w:tabs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0646C7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 w:rsidR="00B8171A">
        <w:rPr>
          <w:rFonts w:ascii="Times New Roman" w:hAnsi="Times New Roman"/>
          <w:b/>
          <w:iCs/>
          <w:sz w:val="28"/>
          <w:szCs w:val="28"/>
        </w:rPr>
        <w:t>экзамен</w:t>
      </w:r>
    </w:p>
    <w:p w14:paraId="0FB41A45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Определение таможенной процедуры и классификация таможенных процедур.</w:t>
      </w:r>
    </w:p>
    <w:p w14:paraId="0B608649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Применение таможенных процедур.</w:t>
      </w:r>
    </w:p>
    <w:p w14:paraId="110C615C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Завершение, прекращение, приостановление и возобновление действия таможенной процедуры.</w:t>
      </w:r>
    </w:p>
    <w:p w14:paraId="22FFBACD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Последствия изъятия (ареста), конфискации или обращения в собственность (доход) государства-члена товаров, помещенных под таможенную процедуру.</w:t>
      </w:r>
    </w:p>
    <w:p w14:paraId="47ADFCAD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Содержание и применение таможенной процедуры выпуска для внутреннего потребления.</w:t>
      </w:r>
    </w:p>
    <w:p w14:paraId="78C34725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Условия помещения товаров под таможенную процедуру выпуска для внутреннего потребления.</w:t>
      </w:r>
    </w:p>
    <w:p w14:paraId="768D4F86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Возникновение и прекращение обязанности по уплате таможенных платежей в отношении товаров, помещаемых (помещенных) под таможенную процедуру выпуска для внутреннего потребления, срок их уплаты и исчисление.</w:t>
      </w:r>
    </w:p>
    <w:p w14:paraId="2630B5E7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Особенности возникновения и прекращения обязанности по уплате таможенных платежей, срок их уплаты и исчисление при выпуске товаров до подачи декларации на товары.</w:t>
      </w:r>
    </w:p>
    <w:p w14:paraId="35BF19E3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Содержание и применение таможенной процедуры экспорта. Условия помещения товаров под таможенную процедуру экспорта, возникновение и прекращение обязанности по уплате вывозных таможенных пошлин, срок их уплаты и исчисление.</w:t>
      </w:r>
    </w:p>
    <w:p w14:paraId="7F50F16D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Содержание и применение таможенной процедуры таможенного транзита.</w:t>
      </w:r>
    </w:p>
    <w:p w14:paraId="5F4AEC3D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Условия помещения товаров под таможенную процедуру таможенного транзита.</w:t>
      </w:r>
    </w:p>
    <w:p w14:paraId="5855D3EC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lastRenderedPageBreak/>
        <w:t>Срок таможенного транзита. Место доставки товаров. Изменение места доставки товаров.</w:t>
      </w:r>
    </w:p>
    <w:p w14:paraId="6FAFF6EC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Обеспечение исполнения обязанности по уплате таможенных платежей при таможенной процедуре таможенного транзита.</w:t>
      </w:r>
    </w:p>
    <w:p w14:paraId="4CA0B50B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Завершение и прекращение действия таможенной процедуры таможенного транзита.</w:t>
      </w:r>
    </w:p>
    <w:p w14:paraId="4C4E43D5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Таможенные операции, совершаемые после доставки товаров в место доставки товаров.</w:t>
      </w:r>
    </w:p>
    <w:p w14:paraId="718D1E3D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Возникновение и прекращение обязанности по уплате таможенных платежей в отношении иностранных товаров, помещаемых (помещенных) под таможенную процедуру таможенного транзита, при перевозке (транспортировке) по таможенной территории Союза, срок их уплаты и исчисление.</w:t>
      </w:r>
    </w:p>
    <w:p w14:paraId="4DCDFE86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Ответственность лиц при нарушении таможенной процедуры таможенного транзита.</w:t>
      </w:r>
    </w:p>
    <w:p w14:paraId="72AA37F6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Содержание и применение таможенной процедуры таможенного склада.</w:t>
      </w:r>
    </w:p>
    <w:p w14:paraId="0731DE0B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Условия помещения товаров под таможенную процедуру таможенного склада и их использования. Срок действия таможенной процедуры. Операции, совершаемые с товарами; хранение товаров; товары, пришедшие в негодность, испорченные или поврежденные.</w:t>
      </w:r>
    </w:p>
    <w:p w14:paraId="1F200146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Завершение и прекращение действия таможенной процедуры таможенного склада.</w:t>
      </w:r>
    </w:p>
    <w:p w14:paraId="29DD9387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Возникновение и прекращение обязанности по уплате таможенных платежей в отношении товаров, помещаемых (помещенных) под таможенную процедуру таможенного склада, срок их уплаты и исчисление.</w:t>
      </w:r>
    </w:p>
    <w:p w14:paraId="34716541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Содержание и применение таможенной процедуры переработки на таможенной территории, условия помещения товаров под таможенную процедуру и их использования, срок действия таможенной процедуры.</w:t>
      </w:r>
    </w:p>
    <w:p w14:paraId="7D4645D4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Операции по переработке на таможенной территории Союза. Отходы, производственные потери, остатки, замена иностранных товаров эквивалентными товарами.</w:t>
      </w:r>
    </w:p>
    <w:p w14:paraId="0BF1C058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Разрешение на переработку товаров на таможенной территории Союза.</w:t>
      </w:r>
    </w:p>
    <w:p w14:paraId="546C99DA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Завершение, приостановление и прекращение действия таможенной процедуры переработки на таможенной территории.</w:t>
      </w:r>
    </w:p>
    <w:p w14:paraId="65572EA3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Возникновение и прекращение обязанности по уплате таможенных платежей</w:t>
      </w: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ab/>
        <w:t xml:space="preserve">в отношении товаров, помещаемых (помещенных) под </w:t>
      </w: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lastRenderedPageBreak/>
        <w:t>таможенную процедуру переработки на таможенной территории, срок их уплаты и исчисление.</w:t>
      </w:r>
    </w:p>
    <w:p w14:paraId="5CA51960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Особенности исчисления и уплаты таможенных платежей в отношении продуктов переработки при их помещении под таможенную процедуру выпуска для внутреннего потребления.</w:t>
      </w:r>
    </w:p>
    <w:p w14:paraId="44CB62DF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Содержание и применение таможенной процедуры переработки вне таможенной территории, условия помещения товаров под таможенную процедуру и их использования, срок действия таможенной процедуры.</w:t>
      </w:r>
    </w:p>
    <w:p w14:paraId="499CED89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Операции по переработке вне таможенной территории Союза. Идентификация иностранных товаров в продуктах их переработки.</w:t>
      </w:r>
    </w:p>
    <w:p w14:paraId="24518985" w14:textId="77777777" w:rsidR="00955017" w:rsidRPr="00955017" w:rsidRDefault="00955017" w:rsidP="00955017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Разрешение на переработку товаров вне таможенной территории Союза.</w:t>
      </w:r>
    </w:p>
    <w:p w14:paraId="553EE7ED" w14:textId="77777777" w:rsidR="00761F28" w:rsidRDefault="00761F28" w:rsidP="00761F2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B926149" w14:textId="77777777" w:rsidR="00B432A9" w:rsidRDefault="00B432A9" w:rsidP="00B432A9">
      <w:pPr>
        <w:spacing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</w:p>
    <w:p w14:paraId="3A526B56" w14:textId="77777777" w:rsidR="00761F28" w:rsidRDefault="00761F28" w:rsidP="00761F2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B8C747C" w14:textId="77777777" w:rsidR="0087500D" w:rsidRDefault="0087500D" w:rsidP="0087500D">
      <w:pPr>
        <w:tabs>
          <w:tab w:val="left" w:pos="1134"/>
        </w:tabs>
        <w:spacing w:after="0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</w:p>
    <w:p w14:paraId="60FFE0CC" w14:textId="77777777" w:rsidR="006C3064" w:rsidRPr="000B1F83" w:rsidRDefault="006C3064" w:rsidP="006C3064">
      <w:pPr>
        <w:spacing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 П</w:t>
      </w:r>
      <w:r w:rsidRPr="000B1F83">
        <w:rPr>
          <w:rFonts w:ascii="Times New Roman" w:hAnsi="Times New Roman"/>
          <w:b/>
          <w:sz w:val="28"/>
          <w:szCs w:val="28"/>
        </w:rPr>
        <w:t>К-</w:t>
      </w:r>
      <w:r>
        <w:rPr>
          <w:rFonts w:ascii="Times New Roman" w:hAnsi="Times New Roman"/>
          <w:b/>
          <w:sz w:val="28"/>
          <w:szCs w:val="28"/>
        </w:rPr>
        <w:t>4</w:t>
      </w:r>
    </w:p>
    <w:p w14:paraId="478B0437" w14:textId="77777777" w:rsidR="006C3064" w:rsidRDefault="006C3064" w:rsidP="0056504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3343CC0" w14:textId="1B7CB588" w:rsidR="00565040" w:rsidRDefault="00565040" w:rsidP="0056504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65040">
        <w:rPr>
          <w:rFonts w:ascii="Times New Roman" w:hAnsi="Times New Roman"/>
          <w:b/>
          <w:bCs/>
          <w:sz w:val="28"/>
          <w:szCs w:val="28"/>
        </w:rPr>
        <w:t xml:space="preserve">Семестр </w:t>
      </w:r>
      <w:r w:rsidR="006F5A32">
        <w:rPr>
          <w:rFonts w:ascii="Times New Roman" w:hAnsi="Times New Roman"/>
          <w:b/>
          <w:bCs/>
          <w:sz w:val="28"/>
          <w:szCs w:val="28"/>
        </w:rPr>
        <w:t>7</w:t>
      </w:r>
    </w:p>
    <w:p w14:paraId="36063931" w14:textId="77777777" w:rsidR="00B432A9" w:rsidRDefault="00B432A9" w:rsidP="0056504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05C739F" w14:textId="77777777" w:rsidR="00761F28" w:rsidRDefault="00761F28" w:rsidP="00761F2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7500D">
        <w:rPr>
          <w:rFonts w:ascii="Times New Roman" w:hAnsi="Times New Roman"/>
          <w:iCs/>
          <w:sz w:val="28"/>
          <w:szCs w:val="28"/>
        </w:rPr>
        <w:t>При проведении промежуточной аттестации (экзамен) обучающемуся предлагается ответить на 2 вопроса из экзаменационного билета.</w:t>
      </w:r>
    </w:p>
    <w:p w14:paraId="60745BBB" w14:textId="77777777" w:rsidR="00761F28" w:rsidRDefault="00761F28" w:rsidP="0087500D">
      <w:pPr>
        <w:tabs>
          <w:tab w:val="left" w:pos="1134"/>
        </w:tabs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30BEAD30" w14:textId="1D083F62" w:rsidR="0087500D" w:rsidRPr="001449C8" w:rsidRDefault="0087500D" w:rsidP="001449C8">
      <w:pPr>
        <w:tabs>
          <w:tab w:val="left" w:pos="1134"/>
        </w:tabs>
        <w:spacing w:after="0"/>
        <w:ind w:left="709"/>
        <w:jc w:val="center"/>
        <w:rPr>
          <w:rFonts w:ascii="Times New Roman" w:hAnsi="Times New Roman"/>
          <w:b/>
          <w:iCs/>
          <w:sz w:val="28"/>
          <w:szCs w:val="28"/>
          <w:lang w:bidi="ru-RU"/>
        </w:rPr>
      </w:pPr>
      <w:r w:rsidRPr="001449C8">
        <w:rPr>
          <w:rFonts w:ascii="Times New Roman" w:hAnsi="Times New Roman"/>
          <w:b/>
          <w:iCs/>
          <w:sz w:val="28"/>
          <w:szCs w:val="28"/>
          <w:lang w:bidi="ru-RU"/>
        </w:rPr>
        <w:t>Примерный перечень вопросов на экзамен</w:t>
      </w:r>
    </w:p>
    <w:p w14:paraId="6E3BB581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Нормы выхода продуктов переработки, отходы и производственные потери, остатки, замена продуктов переработки эквивалентными иностранными товарами.</w:t>
      </w:r>
    </w:p>
    <w:p w14:paraId="03AEF673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Завершение и прекращение действия таможенной процедуры переработки вне таможенной территории.</w:t>
      </w:r>
    </w:p>
    <w:p w14:paraId="6A31527F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Возникновение и прекращение обязанности по уплате вывозных таможенных пошлин в отношении товаров Союза, помещаемых (помещенных) под таможенную процедуру переработки вне таможенной территории, срок их уплаты и исчисление.</w:t>
      </w:r>
    </w:p>
    <w:p w14:paraId="0136BF3D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Особенности исчисления и уплаты таможенных платежей в отношении продуктов переработки при их помещении под таможенную процедуру выпуска для внутреннего потребления.</w:t>
      </w:r>
    </w:p>
    <w:p w14:paraId="2C532642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 xml:space="preserve">Особенности исчисления и уплаты вывозных таможенных пошлин в отношении товаров, не подвергшихся операциям по переработке вне </w:t>
      </w: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lastRenderedPageBreak/>
        <w:t>таможенной территории Союза и продуктов переработки при их помещении под таможенную процедуру экспорта.</w:t>
      </w:r>
    </w:p>
    <w:p w14:paraId="0CEF7411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Содержание и применение таможенной процедуры переработки для внутреннего потребления, условия помещения товаров под таможенную процедуру и их использования, срок действия таможенной процедуры.</w:t>
      </w:r>
    </w:p>
    <w:p w14:paraId="59447718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Операции по переработке товаров для внутреннего потребления. Идентификация иностранных товаров в продуктах их переработки.</w:t>
      </w:r>
    </w:p>
    <w:p w14:paraId="3299BDC8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Разрешение на переработку товаров для внутреннего потребления</w:t>
      </w:r>
    </w:p>
    <w:p w14:paraId="4F126C95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Нормы выхода продуктов переработки. Отходы, производственные потери, остатки иностранных товаров, образовавшиеся в результате совершения операций по переработке для внутреннего потребления.</w:t>
      </w:r>
    </w:p>
    <w:p w14:paraId="10DC828C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Завершение, приостановление и прекращение действия таможенной процедуры переработки для внутреннего потребления.</w:t>
      </w:r>
    </w:p>
    <w:p w14:paraId="7688F658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Возникновение и прекращение обязанности по уплате таможенных платежей в отношении товаров, помещаемых (помещенных) под таможенную процедуру переработки для внутреннего потребления, срок их уплаты и исчисление.</w:t>
      </w:r>
    </w:p>
    <w:p w14:paraId="7F5F84BA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Особенности исчисления и уплаты таможенных платежей в отношении продуктов переработки при их помещении под таможенную процедуру выпуска для внутреннего потребления.</w:t>
      </w:r>
    </w:p>
    <w:p w14:paraId="1AE3F35F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Содержание и применение таможенной процедуры свободной таможенной зоны.</w:t>
      </w:r>
    </w:p>
    <w:p w14:paraId="35FC3D82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Условия помещения товаров под таможенную процедуру свободной таможенной зоны и их использования в соответствии с такой таможенной процедурой.</w:t>
      </w:r>
    </w:p>
    <w:p w14:paraId="28D06E55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Территория СЭЗ и таможенные операции, совершаемые на территории СЭЗ. Особенности портовых и логистических СЭЗ.</w:t>
      </w:r>
    </w:p>
    <w:p w14:paraId="5F257F01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Действия, совершаемые в отношении товаров, помещенных под таможенную процедуру свободной таможенной зоны, и в отношении товаров, изготовленных (полученных) из товаров, помещенных под таможенную процедуру свободной таможенной зоны.</w:t>
      </w:r>
    </w:p>
    <w:p w14:paraId="3C86382F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Завершение и прекращение действия таможенной процедуры свободной таможенной зоны.</w:t>
      </w:r>
    </w:p>
    <w:p w14:paraId="04262F5B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Возникновение и прекращение обязанности по уплате таможенных платежей в отношении иностранных товаров, помещаемых (помещенных) под таможенную процедуру свободной таможенной зоны, срок их уплаты и исчисление.</w:t>
      </w:r>
    </w:p>
    <w:p w14:paraId="47F36616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lastRenderedPageBreak/>
        <w:t>Особенности исчисления и уплаты таможенных платежей в отношении иностранных товаров, помещенных под таможенную процедуру свободной таможенной зоны, и товаров, изготовленных (полученных) из товаров, помещенных под таможенную процедуру свободной таможенной зоны, при их помещении под отдельные таможенные процедуры.</w:t>
      </w:r>
    </w:p>
    <w:p w14:paraId="5FA04464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Определение статуса товаров, изготовленных (полученных) из иностранных товаров, помещенных под таможенную процедуру свободной таможенной зоны.</w:t>
      </w:r>
    </w:p>
    <w:p w14:paraId="226C8779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Общая характеристика таможенной процедуры свободного склада.</w:t>
      </w:r>
    </w:p>
    <w:p w14:paraId="3895E9F3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Содержание и применение таможенной процедуры временного ввоза (допуска). Условия помещения товаров под таможенную процедуру и их использования. Срок действия таможенной процедуры. Ограничения по владению и пользованию временно ввезенными товарами.</w:t>
      </w:r>
    </w:p>
    <w:p w14:paraId="6A3CE392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Особенности исчисления и уплаты ввозных таможенных пошлин, налогов при применении таможенной процедуры временного ввоза (допуска).</w:t>
      </w:r>
    </w:p>
    <w:p w14:paraId="3CF33F24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Завершение, приостановление и прекращение действия таможенной процедуры временного ввоза (допуска). Особенности исчисления и уплаты таможенных платежей в отношении временно ввезенных товаров при их помещении под таможенную процедуру выпуска для внутреннего потребления.</w:t>
      </w:r>
    </w:p>
    <w:p w14:paraId="5ACA1F85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Содержание и применение таможенной процедуры временного вывоза. Условия помещения товаров под таможенную процедуру временного вывоза и их использования. Срок действия таможенной процедуры.</w:t>
      </w:r>
    </w:p>
    <w:p w14:paraId="17280A2F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Ограничения по пользованию и распоряжению временно вывезенными товарами. Завершение и прекращение действия таможенной процедуры временного вывоза.</w:t>
      </w:r>
    </w:p>
    <w:p w14:paraId="761B70E2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Возникновение и прекращение обязанности по уплате вывозных таможенных пошлин в отношении товаров, помещаемых (помещенных) под таможенную процедуру временного вывоза и в отношении которых действие таможенной процедуры прекращено, срок их уплаты и исчисление.</w:t>
      </w:r>
    </w:p>
    <w:p w14:paraId="15C676B4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Общая характеристика таможенной процедуры реимпорта. Возврат (зачет) сумм вывозных таможенных пошлин.</w:t>
      </w:r>
    </w:p>
    <w:p w14:paraId="79C4A0BE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Общая характеристика таможенной процедуры реэкспорта. Возврат (зачет) сумм ввозных таможенных пошлин, налогов, специальных, антидемпинговых, компенсационных пошлин.</w:t>
      </w:r>
    </w:p>
    <w:p w14:paraId="07579290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Общая характеристика таможенной процедуры беспошлинной торговли.</w:t>
      </w:r>
    </w:p>
    <w:p w14:paraId="459E4367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lastRenderedPageBreak/>
        <w:t>Возникновение и прекращение обязанности по уплате таможенных платежей в отношении иностранных товаров, помещаемых (помещенных) под таможенную процедуру беспошлинной торговли, срок их уплаты и исчисление.</w:t>
      </w:r>
    </w:p>
    <w:p w14:paraId="638C9CE2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Общая характеристика таможенной процедуры уничтожения.</w:t>
      </w:r>
    </w:p>
    <w:p w14:paraId="246B7B78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Общая характеристика таможенной процедуры отказа в пользу государства.</w:t>
      </w:r>
    </w:p>
    <w:p w14:paraId="4A6C7D9D" w14:textId="77777777" w:rsidR="00955017" w:rsidRPr="00955017" w:rsidRDefault="00955017" w:rsidP="00955017">
      <w:pPr>
        <w:pStyle w:val="a3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955017">
        <w:rPr>
          <w:rFonts w:ascii="Times New Roman" w:hAnsi="Times New Roman"/>
          <w:bCs/>
          <w:iCs/>
          <w:sz w:val="28"/>
          <w:szCs w:val="28"/>
          <w:lang w:bidi="ru-RU"/>
        </w:rPr>
        <w:t>Общая характеристика специальной таможенной процедуры.</w:t>
      </w:r>
    </w:p>
    <w:p w14:paraId="17FD8B2B" w14:textId="77777777" w:rsidR="0087500D" w:rsidRPr="000646C7" w:rsidRDefault="0087500D" w:rsidP="0087500D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35F02D61" w14:textId="1E834AA2" w:rsidR="006E00B9" w:rsidRPr="000646C7" w:rsidRDefault="006E00B9" w:rsidP="00352F76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bookmarkStart w:id="0" w:name="_GoBack"/>
      <w:bookmarkEnd w:id="0"/>
    </w:p>
    <w:sectPr w:rsidR="006E00B9" w:rsidRPr="000646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3466"/>
    <w:multiLevelType w:val="hybridMultilevel"/>
    <w:tmpl w:val="262CB0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9699B"/>
    <w:multiLevelType w:val="hybridMultilevel"/>
    <w:tmpl w:val="AEEE5FB6"/>
    <w:lvl w:ilvl="0" w:tplc="FFFFFFFF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365CC1"/>
    <w:multiLevelType w:val="hybridMultilevel"/>
    <w:tmpl w:val="AEEE5FB6"/>
    <w:lvl w:ilvl="0" w:tplc="FFFFFFFF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717BBA"/>
    <w:multiLevelType w:val="hybridMultilevel"/>
    <w:tmpl w:val="9FBC6912"/>
    <w:lvl w:ilvl="0" w:tplc="04190011">
      <w:start w:val="1"/>
      <w:numFmt w:val="decimal"/>
      <w:lvlText w:val="%1)"/>
      <w:lvlJc w:val="left"/>
      <w:pPr>
        <w:ind w:left="8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4" w15:restartNumberingAfterBreak="0">
    <w:nsid w:val="1AF44B61"/>
    <w:multiLevelType w:val="hybridMultilevel"/>
    <w:tmpl w:val="AEEE5FB6"/>
    <w:lvl w:ilvl="0" w:tplc="6590BA0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ADEE330E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6E4C48"/>
    <w:multiLevelType w:val="hybridMultilevel"/>
    <w:tmpl w:val="AEEE5FB6"/>
    <w:lvl w:ilvl="0" w:tplc="FFFFFFFF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0BC0BB5"/>
    <w:multiLevelType w:val="hybridMultilevel"/>
    <w:tmpl w:val="CD9C6864"/>
    <w:lvl w:ilvl="0" w:tplc="27E2588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6500B71"/>
    <w:multiLevelType w:val="hybridMultilevel"/>
    <w:tmpl w:val="6F80E006"/>
    <w:lvl w:ilvl="0" w:tplc="6608A434">
      <w:start w:val="1"/>
      <w:numFmt w:val="decimal"/>
      <w:lvlText w:val="%1."/>
      <w:lvlJc w:val="left"/>
      <w:pPr>
        <w:ind w:left="1419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B200C"/>
    <w:multiLevelType w:val="hybridMultilevel"/>
    <w:tmpl w:val="AAA27A02"/>
    <w:lvl w:ilvl="0" w:tplc="04190011">
      <w:start w:val="1"/>
      <w:numFmt w:val="decimal"/>
      <w:lvlText w:val="%1)"/>
      <w:lvlJc w:val="left"/>
      <w:pPr>
        <w:ind w:left="84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51" w:hanging="360"/>
      </w:pPr>
    </w:lvl>
    <w:lvl w:ilvl="2" w:tplc="FFFFFFFF" w:tentative="1">
      <w:start w:val="1"/>
      <w:numFmt w:val="lowerRoman"/>
      <w:lvlText w:val="%3."/>
      <w:lvlJc w:val="right"/>
      <w:pPr>
        <w:ind w:left="1871" w:hanging="180"/>
      </w:pPr>
    </w:lvl>
    <w:lvl w:ilvl="3" w:tplc="FFFFFFFF" w:tentative="1">
      <w:start w:val="1"/>
      <w:numFmt w:val="decimal"/>
      <w:lvlText w:val="%4."/>
      <w:lvlJc w:val="left"/>
      <w:pPr>
        <w:ind w:left="2591" w:hanging="360"/>
      </w:pPr>
    </w:lvl>
    <w:lvl w:ilvl="4" w:tplc="FFFFFFFF" w:tentative="1">
      <w:start w:val="1"/>
      <w:numFmt w:val="lowerLetter"/>
      <w:lvlText w:val="%5."/>
      <w:lvlJc w:val="left"/>
      <w:pPr>
        <w:ind w:left="3311" w:hanging="360"/>
      </w:pPr>
    </w:lvl>
    <w:lvl w:ilvl="5" w:tplc="FFFFFFFF" w:tentative="1">
      <w:start w:val="1"/>
      <w:numFmt w:val="lowerRoman"/>
      <w:lvlText w:val="%6."/>
      <w:lvlJc w:val="right"/>
      <w:pPr>
        <w:ind w:left="4031" w:hanging="180"/>
      </w:pPr>
    </w:lvl>
    <w:lvl w:ilvl="6" w:tplc="FFFFFFFF" w:tentative="1">
      <w:start w:val="1"/>
      <w:numFmt w:val="decimal"/>
      <w:lvlText w:val="%7."/>
      <w:lvlJc w:val="left"/>
      <w:pPr>
        <w:ind w:left="4751" w:hanging="360"/>
      </w:pPr>
    </w:lvl>
    <w:lvl w:ilvl="7" w:tplc="FFFFFFFF" w:tentative="1">
      <w:start w:val="1"/>
      <w:numFmt w:val="lowerLetter"/>
      <w:lvlText w:val="%8."/>
      <w:lvlJc w:val="left"/>
      <w:pPr>
        <w:ind w:left="5471" w:hanging="360"/>
      </w:pPr>
    </w:lvl>
    <w:lvl w:ilvl="8" w:tplc="FFFFFFFF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9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E5C6A"/>
    <w:multiLevelType w:val="hybridMultilevel"/>
    <w:tmpl w:val="5470D9DC"/>
    <w:lvl w:ilvl="0" w:tplc="FFFFFFFF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C192F36"/>
    <w:multiLevelType w:val="hybridMultilevel"/>
    <w:tmpl w:val="B50AC7C0"/>
    <w:lvl w:ilvl="0" w:tplc="CB54DF04">
      <w:start w:val="1"/>
      <w:numFmt w:val="decimal"/>
      <w:lvlText w:val="%1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2" w15:restartNumberingAfterBreak="0">
    <w:nsid w:val="52415209"/>
    <w:multiLevelType w:val="hybridMultilevel"/>
    <w:tmpl w:val="5470D9DC"/>
    <w:lvl w:ilvl="0" w:tplc="FFFFFFFF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757AFA"/>
    <w:multiLevelType w:val="hybridMultilevel"/>
    <w:tmpl w:val="AEEE5FB6"/>
    <w:lvl w:ilvl="0" w:tplc="FFFFFFFF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DFE7EA6"/>
    <w:multiLevelType w:val="hybridMultilevel"/>
    <w:tmpl w:val="91528BD8"/>
    <w:lvl w:ilvl="0" w:tplc="CB54DF04">
      <w:start w:val="1"/>
      <w:numFmt w:val="decimal"/>
      <w:lvlText w:val="%1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4675855"/>
    <w:multiLevelType w:val="hybridMultilevel"/>
    <w:tmpl w:val="1B525FAA"/>
    <w:lvl w:ilvl="0" w:tplc="FE6C422E">
      <w:start w:val="1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16"/>
  </w:num>
  <w:num w:numId="4">
    <w:abstractNumId w:val="13"/>
  </w:num>
  <w:num w:numId="5">
    <w:abstractNumId w:val="15"/>
  </w:num>
  <w:num w:numId="6">
    <w:abstractNumId w:val="9"/>
  </w:num>
  <w:num w:numId="7">
    <w:abstractNumId w:val="6"/>
  </w:num>
  <w:num w:numId="8">
    <w:abstractNumId w:val="0"/>
  </w:num>
  <w:num w:numId="9">
    <w:abstractNumId w:val="12"/>
  </w:num>
  <w:num w:numId="10">
    <w:abstractNumId w:val="2"/>
  </w:num>
  <w:num w:numId="11">
    <w:abstractNumId w:val="19"/>
  </w:num>
  <w:num w:numId="12">
    <w:abstractNumId w:val="1"/>
  </w:num>
  <w:num w:numId="13">
    <w:abstractNumId w:val="10"/>
  </w:num>
  <w:num w:numId="14">
    <w:abstractNumId w:val="17"/>
  </w:num>
  <w:num w:numId="15">
    <w:abstractNumId w:val="5"/>
  </w:num>
  <w:num w:numId="16">
    <w:abstractNumId w:val="18"/>
  </w:num>
  <w:num w:numId="17">
    <w:abstractNumId w:val="11"/>
  </w:num>
  <w:num w:numId="18">
    <w:abstractNumId w:val="3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01897"/>
    <w:rsid w:val="0004622E"/>
    <w:rsid w:val="000646C7"/>
    <w:rsid w:val="000E43DA"/>
    <w:rsid w:val="00105A00"/>
    <w:rsid w:val="001066A1"/>
    <w:rsid w:val="00123DC8"/>
    <w:rsid w:val="001449C8"/>
    <w:rsid w:val="00175D46"/>
    <w:rsid w:val="001B5BB3"/>
    <w:rsid w:val="001D6637"/>
    <w:rsid w:val="001D75D9"/>
    <w:rsid w:val="001F0F0F"/>
    <w:rsid w:val="00202C6E"/>
    <w:rsid w:val="00203FAD"/>
    <w:rsid w:val="00231007"/>
    <w:rsid w:val="002569E4"/>
    <w:rsid w:val="00262E36"/>
    <w:rsid w:val="00264EC1"/>
    <w:rsid w:val="002872A2"/>
    <w:rsid w:val="002C5FF6"/>
    <w:rsid w:val="002D5DAA"/>
    <w:rsid w:val="002E0816"/>
    <w:rsid w:val="00323F5D"/>
    <w:rsid w:val="0035026A"/>
    <w:rsid w:val="00350F87"/>
    <w:rsid w:val="00352F76"/>
    <w:rsid w:val="00354926"/>
    <w:rsid w:val="00364CAC"/>
    <w:rsid w:val="003768F0"/>
    <w:rsid w:val="0038670F"/>
    <w:rsid w:val="00392BD7"/>
    <w:rsid w:val="003A50D0"/>
    <w:rsid w:val="003B63AC"/>
    <w:rsid w:val="003B68FD"/>
    <w:rsid w:val="003D3A05"/>
    <w:rsid w:val="003F6847"/>
    <w:rsid w:val="004265CB"/>
    <w:rsid w:val="00441408"/>
    <w:rsid w:val="00442B96"/>
    <w:rsid w:val="004643BE"/>
    <w:rsid w:val="00476CC2"/>
    <w:rsid w:val="004A1B90"/>
    <w:rsid w:val="004A2728"/>
    <w:rsid w:val="004B09A9"/>
    <w:rsid w:val="0055655C"/>
    <w:rsid w:val="005610FC"/>
    <w:rsid w:val="005611E1"/>
    <w:rsid w:val="00565040"/>
    <w:rsid w:val="005B453D"/>
    <w:rsid w:val="005D2A4F"/>
    <w:rsid w:val="005D6537"/>
    <w:rsid w:val="006038C9"/>
    <w:rsid w:val="0065482D"/>
    <w:rsid w:val="00676D13"/>
    <w:rsid w:val="00687293"/>
    <w:rsid w:val="00692EE0"/>
    <w:rsid w:val="006B154B"/>
    <w:rsid w:val="006B51E0"/>
    <w:rsid w:val="006C3064"/>
    <w:rsid w:val="006E00B9"/>
    <w:rsid w:val="006E1FE4"/>
    <w:rsid w:val="006F006A"/>
    <w:rsid w:val="006F5A32"/>
    <w:rsid w:val="006F7989"/>
    <w:rsid w:val="007051A0"/>
    <w:rsid w:val="00715445"/>
    <w:rsid w:val="00742E58"/>
    <w:rsid w:val="007452BC"/>
    <w:rsid w:val="00754856"/>
    <w:rsid w:val="00761F28"/>
    <w:rsid w:val="007622FA"/>
    <w:rsid w:val="0076613D"/>
    <w:rsid w:val="00782359"/>
    <w:rsid w:val="007A42C9"/>
    <w:rsid w:val="007A5550"/>
    <w:rsid w:val="00803311"/>
    <w:rsid w:val="0081393C"/>
    <w:rsid w:val="00836D98"/>
    <w:rsid w:val="00857C46"/>
    <w:rsid w:val="0087500D"/>
    <w:rsid w:val="008758AB"/>
    <w:rsid w:val="00886811"/>
    <w:rsid w:val="008C3453"/>
    <w:rsid w:val="008F44B3"/>
    <w:rsid w:val="009500DC"/>
    <w:rsid w:val="00955017"/>
    <w:rsid w:val="00957C32"/>
    <w:rsid w:val="009724D5"/>
    <w:rsid w:val="009764D2"/>
    <w:rsid w:val="00994347"/>
    <w:rsid w:val="00997B7E"/>
    <w:rsid w:val="009A0ED4"/>
    <w:rsid w:val="009D0BEF"/>
    <w:rsid w:val="009D4F6E"/>
    <w:rsid w:val="009E12FC"/>
    <w:rsid w:val="009F0DDB"/>
    <w:rsid w:val="00A05808"/>
    <w:rsid w:val="00A20D20"/>
    <w:rsid w:val="00A21F65"/>
    <w:rsid w:val="00A74EDB"/>
    <w:rsid w:val="00A84491"/>
    <w:rsid w:val="00AA3F74"/>
    <w:rsid w:val="00AF1126"/>
    <w:rsid w:val="00AF2E47"/>
    <w:rsid w:val="00B25F82"/>
    <w:rsid w:val="00B432A9"/>
    <w:rsid w:val="00B5537A"/>
    <w:rsid w:val="00B8171A"/>
    <w:rsid w:val="00BD05F9"/>
    <w:rsid w:val="00C054C6"/>
    <w:rsid w:val="00C2103F"/>
    <w:rsid w:val="00C244C8"/>
    <w:rsid w:val="00C65C96"/>
    <w:rsid w:val="00C73D72"/>
    <w:rsid w:val="00C84F2E"/>
    <w:rsid w:val="00CC4E9D"/>
    <w:rsid w:val="00CE3885"/>
    <w:rsid w:val="00CE6141"/>
    <w:rsid w:val="00CF0E21"/>
    <w:rsid w:val="00D06A3D"/>
    <w:rsid w:val="00D11EB1"/>
    <w:rsid w:val="00D17CFF"/>
    <w:rsid w:val="00D31839"/>
    <w:rsid w:val="00D354DA"/>
    <w:rsid w:val="00D57279"/>
    <w:rsid w:val="00D90126"/>
    <w:rsid w:val="00DA187A"/>
    <w:rsid w:val="00DC6E8E"/>
    <w:rsid w:val="00DD4D7F"/>
    <w:rsid w:val="00E024AF"/>
    <w:rsid w:val="00E112BF"/>
    <w:rsid w:val="00E332A8"/>
    <w:rsid w:val="00E34C74"/>
    <w:rsid w:val="00E518BB"/>
    <w:rsid w:val="00E765B3"/>
    <w:rsid w:val="00E866EE"/>
    <w:rsid w:val="00E93865"/>
    <w:rsid w:val="00E946A1"/>
    <w:rsid w:val="00EA6969"/>
    <w:rsid w:val="00EA6BE8"/>
    <w:rsid w:val="00EC213E"/>
    <w:rsid w:val="00F143EC"/>
    <w:rsid w:val="00F4621C"/>
    <w:rsid w:val="00F8701C"/>
    <w:rsid w:val="00F923B0"/>
    <w:rsid w:val="00FE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E1A6"/>
  <w15:docId w15:val="{53E98135-F4F1-4EDA-B38E-9BAFF4DA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6B51E0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6B51E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6B51E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B51E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B51E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64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64EC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A788AEA5B5B74FA03EEB99758644F5" ma:contentTypeVersion="16" ma:contentTypeDescription="Create a new document." ma:contentTypeScope="" ma:versionID="b72bab42dd6e06dc8064c45e6ac77513">
  <xsd:schema xmlns:xsd="http://www.w3.org/2001/XMLSchema" xmlns:xs="http://www.w3.org/2001/XMLSchema" xmlns:p="http://schemas.microsoft.com/office/2006/metadata/properties" xmlns:ns3="3d15715b-2bf6-42c9-bbce-6d4e171db7d6" xmlns:ns4="172a6d7f-bda1-49df-a35d-a97cc9df3458" targetNamespace="http://schemas.microsoft.com/office/2006/metadata/properties" ma:root="true" ma:fieldsID="e8aeed4ee909436b29146413b53b7769" ns3:_="" ns4:_="">
    <xsd:import namespace="3d15715b-2bf6-42c9-bbce-6d4e171db7d6"/>
    <xsd:import namespace="172a6d7f-bda1-49df-a35d-a97cc9df345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5715b-2bf6-42c9-bbce-6d4e171db7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a6d7f-bda1-49df-a35d-a97cc9df3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2a6d7f-bda1-49df-a35d-a97cc9df3458" xsi:nil="true"/>
  </documentManagement>
</p:properties>
</file>

<file path=customXml/itemProps1.xml><?xml version="1.0" encoding="utf-8"?>
<ds:datastoreItem xmlns:ds="http://schemas.openxmlformats.org/officeDocument/2006/customXml" ds:itemID="{827C0272-D522-4BBE-A3A0-3B86BF0E06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9DE368-32E9-464C-856E-694E33B9A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5715b-2bf6-42c9-bbce-6d4e171db7d6"/>
    <ds:schemaRef ds:uri="172a6d7f-bda1-49df-a35d-a97cc9df3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017D1-8404-425A-BAC7-D26EA92D464C}">
  <ds:schemaRefs>
    <ds:schemaRef ds:uri="http://schemas.microsoft.com/office/2006/metadata/properties"/>
    <ds:schemaRef ds:uri="http://schemas.microsoft.com/office/infopath/2007/PartnerControls"/>
    <ds:schemaRef ds:uri="172a6d7f-bda1-49df-a35d-a97cc9df34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5</cp:revision>
  <dcterms:created xsi:type="dcterms:W3CDTF">2025-06-02T08:08:00Z</dcterms:created>
  <dcterms:modified xsi:type="dcterms:W3CDTF">2026-10-27T11:55:00Z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0x0101008DA788AEA5B5B74FA03EEB99758644F5</vt:lpwstr>
  </property>
</Properties>
</file>