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CF3" w:rsidRPr="00A9087A" w:rsidRDefault="00CA7CF3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7CF3" w:rsidRPr="00A9087A" w:rsidRDefault="00B94081" w:rsidP="009038FA">
      <w:pPr>
        <w:spacing w:after="0" w:line="30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sz w:val="28"/>
          <w:szCs w:val="28"/>
        </w:rPr>
        <w:t>Приложение</w:t>
      </w:r>
    </w:p>
    <w:p w:rsidR="00CA7CF3" w:rsidRPr="00A9087A" w:rsidRDefault="00CA7CF3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7CF3" w:rsidRPr="00A9087A" w:rsidRDefault="00B94081" w:rsidP="009038FA">
      <w:pPr>
        <w:spacing w:after="0" w:line="30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B335F0"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</w:t>
      </w:r>
      <w:r w:rsidRPr="00A9087A">
        <w:rPr>
          <w:rFonts w:ascii="Times New Roman" w:hAnsi="Times New Roman"/>
          <w:b/>
          <w:iCs/>
          <w:sz w:val="28"/>
          <w:szCs w:val="28"/>
        </w:rPr>
        <w:t xml:space="preserve"> по дисциплине</w:t>
      </w:r>
    </w:p>
    <w:p w:rsidR="00CA7CF3" w:rsidRPr="00A9087A" w:rsidRDefault="00B94081" w:rsidP="009038FA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>«</w:t>
      </w:r>
      <w:r w:rsidR="00C50A3A">
        <w:rPr>
          <w:rFonts w:ascii="Times New Roman" w:hAnsi="Times New Roman"/>
          <w:b/>
          <w:iCs/>
          <w:sz w:val="28"/>
          <w:szCs w:val="28"/>
        </w:rPr>
        <w:t>Управление логистическими рисками в сфере таможенного дела</w:t>
      </w:r>
      <w:r w:rsidRPr="00A9087A">
        <w:rPr>
          <w:rFonts w:ascii="Times New Roman" w:hAnsi="Times New Roman"/>
          <w:b/>
          <w:iCs/>
          <w:sz w:val="28"/>
          <w:szCs w:val="28"/>
        </w:rPr>
        <w:t>»</w:t>
      </w:r>
    </w:p>
    <w:p w:rsidR="00173F34" w:rsidRDefault="00173F3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9D7625" w:rsidRDefault="006C5B9C" w:rsidP="00C50A3A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компетенциям </w:t>
      </w:r>
      <w:r w:rsidR="00C50A3A">
        <w:rPr>
          <w:rFonts w:ascii="Times New Roman" w:hAnsi="Times New Roman"/>
          <w:b/>
          <w:sz w:val="28"/>
          <w:szCs w:val="28"/>
        </w:rPr>
        <w:t xml:space="preserve"> ПК-1, ПК-9</w:t>
      </w:r>
    </w:p>
    <w:p w:rsidR="00C50A3A" w:rsidRPr="00487FF2" w:rsidRDefault="00C50A3A" w:rsidP="00C50A3A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45845" w:rsidRPr="00487FF2" w:rsidRDefault="00487FF2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7FF2">
        <w:rPr>
          <w:rFonts w:ascii="Times New Roman" w:hAnsi="Times New Roman"/>
          <w:b/>
          <w:sz w:val="28"/>
          <w:szCs w:val="28"/>
        </w:rPr>
        <w:t xml:space="preserve">Семестр </w:t>
      </w:r>
      <w:r w:rsidR="000C2F71">
        <w:rPr>
          <w:rFonts w:ascii="Times New Roman" w:hAnsi="Times New Roman"/>
          <w:b/>
          <w:sz w:val="28"/>
          <w:szCs w:val="28"/>
        </w:rPr>
        <w:t>11</w:t>
      </w:r>
    </w:p>
    <w:p w:rsidR="00487FF2" w:rsidRPr="00A9087A" w:rsidRDefault="00487FF2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60E4" w:rsidRPr="00A9087A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 проведении</w:t>
      </w:r>
      <w:r w:rsidR="00C50A3A">
        <w:rPr>
          <w:rFonts w:ascii="Times New Roman" w:hAnsi="Times New Roman"/>
          <w:b/>
          <w:sz w:val="28"/>
          <w:szCs w:val="28"/>
        </w:rPr>
        <w:t xml:space="preserve"> промежуточной аттестации (экзамен</w:t>
      </w:r>
      <w:r w:rsidRPr="00A9087A">
        <w:rPr>
          <w:rFonts w:ascii="Times New Roman" w:hAnsi="Times New Roman"/>
          <w:b/>
          <w:sz w:val="28"/>
          <w:szCs w:val="28"/>
        </w:rPr>
        <w:t>) обучающемуся предлагается ответить на 2 вопроса из экзаменационного билета.</w:t>
      </w:r>
    </w:p>
    <w:p w:rsidR="007D60E4" w:rsidRPr="00A9087A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11636" w:rsidRDefault="00B45845" w:rsidP="009D7625">
      <w:pPr>
        <w:spacing w:after="0" w:line="30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Приме</w:t>
      </w:r>
      <w:r w:rsidR="009D7625">
        <w:rPr>
          <w:rFonts w:ascii="Times New Roman" w:hAnsi="Times New Roman"/>
          <w:b/>
          <w:sz w:val="28"/>
          <w:szCs w:val="28"/>
        </w:rPr>
        <w:t>рный п</w:t>
      </w:r>
      <w:r w:rsidR="00C50A3A">
        <w:rPr>
          <w:rFonts w:ascii="Times New Roman" w:hAnsi="Times New Roman"/>
          <w:b/>
          <w:sz w:val="28"/>
          <w:szCs w:val="28"/>
        </w:rPr>
        <w:t>еречень вопросов на экзамен</w:t>
      </w:r>
    </w:p>
    <w:p w:rsidR="009D7625" w:rsidRDefault="009D7625" w:rsidP="009D7625">
      <w:pPr>
        <w:spacing w:after="0" w:line="30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32A1E" w:rsidRPr="00732A1E" w:rsidRDefault="006C5B9C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 xml:space="preserve">Определение </w:t>
      </w:r>
      <w:r w:rsidR="00732A1E" w:rsidRPr="00732A1E">
        <w:rPr>
          <w:rFonts w:ascii="Times New Roman" w:hAnsi="Times New Roman"/>
          <w:sz w:val="28"/>
          <w:szCs w:val="28"/>
        </w:rPr>
        <w:t>логистических рисков в сфере таможенного дела.</w:t>
      </w:r>
    </w:p>
    <w:p w:rsidR="00732A1E" w:rsidRPr="00732A1E" w:rsidRDefault="006C5B9C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О</w:t>
      </w:r>
      <w:r w:rsidR="00732A1E" w:rsidRPr="00732A1E">
        <w:rPr>
          <w:rFonts w:ascii="Times New Roman" w:hAnsi="Times New Roman"/>
          <w:sz w:val="28"/>
          <w:szCs w:val="28"/>
        </w:rPr>
        <w:t>сновные виды логистических рисков в сфере таможенного дела.</w:t>
      </w:r>
    </w:p>
    <w:p w:rsidR="00732A1E" w:rsidRPr="00732A1E" w:rsidRDefault="006C5B9C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 xml:space="preserve">Принципы </w:t>
      </w:r>
      <w:r w:rsidR="00732A1E" w:rsidRPr="00732A1E">
        <w:rPr>
          <w:rFonts w:ascii="Times New Roman" w:hAnsi="Times New Roman"/>
          <w:sz w:val="28"/>
          <w:szCs w:val="28"/>
        </w:rPr>
        <w:t>управления логистическими рисками в сфере таможенного дела.</w:t>
      </w:r>
    </w:p>
    <w:p w:rsidR="00732A1E" w:rsidRPr="00732A1E" w:rsidRDefault="006C5B9C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 xml:space="preserve">Роль </w:t>
      </w:r>
      <w:r w:rsidR="00732A1E" w:rsidRPr="00732A1E">
        <w:rPr>
          <w:rFonts w:ascii="Times New Roman" w:hAnsi="Times New Roman"/>
          <w:sz w:val="28"/>
          <w:szCs w:val="28"/>
        </w:rPr>
        <w:t>анализа и оценки рисков в процессе управления логистическими рисками.</w:t>
      </w:r>
    </w:p>
    <w:p w:rsidR="00732A1E" w:rsidRPr="00732A1E" w:rsidRDefault="006C5B9C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Факторы</w:t>
      </w:r>
      <w:r w:rsidR="00732A1E" w:rsidRPr="00732A1E">
        <w:rPr>
          <w:rFonts w:ascii="Times New Roman" w:hAnsi="Times New Roman"/>
          <w:sz w:val="28"/>
          <w:szCs w:val="28"/>
        </w:rPr>
        <w:t>, влияющие на уровень логистических рисков в сфере таможенного дела.</w:t>
      </w:r>
    </w:p>
    <w:p w:rsidR="00732A1E" w:rsidRPr="00732A1E" w:rsidRDefault="006C5B9C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 xml:space="preserve">Основные </w:t>
      </w:r>
      <w:r w:rsidR="00732A1E" w:rsidRPr="00732A1E">
        <w:rPr>
          <w:rFonts w:ascii="Times New Roman" w:hAnsi="Times New Roman"/>
          <w:sz w:val="28"/>
          <w:szCs w:val="28"/>
        </w:rPr>
        <w:t>виды логистических рисков в таможенном деле.</w:t>
      </w:r>
    </w:p>
    <w:p w:rsidR="00732A1E" w:rsidRPr="00732A1E" w:rsidRDefault="006C5B9C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 xml:space="preserve">Источники </w:t>
      </w:r>
      <w:r w:rsidR="00732A1E" w:rsidRPr="00732A1E">
        <w:rPr>
          <w:rFonts w:ascii="Times New Roman" w:hAnsi="Times New Roman"/>
          <w:sz w:val="28"/>
          <w:szCs w:val="28"/>
        </w:rPr>
        <w:t>логистических рисков в сфере таможенного дела.</w:t>
      </w:r>
    </w:p>
    <w:p w:rsidR="00732A1E" w:rsidRPr="00732A1E" w:rsidRDefault="006C5B9C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 xml:space="preserve">Особенности </w:t>
      </w:r>
      <w:r w:rsidR="00732A1E" w:rsidRPr="00732A1E">
        <w:rPr>
          <w:rFonts w:ascii="Times New Roman" w:hAnsi="Times New Roman"/>
          <w:sz w:val="28"/>
          <w:szCs w:val="28"/>
        </w:rPr>
        <w:t>классификации логистических рисков в контексте международных перевозок.</w:t>
      </w:r>
    </w:p>
    <w:p w:rsidR="00732A1E" w:rsidRPr="00732A1E" w:rsidRDefault="006C5B9C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 xml:space="preserve">Основные </w:t>
      </w:r>
      <w:r w:rsidR="00732A1E" w:rsidRPr="00732A1E">
        <w:rPr>
          <w:rFonts w:ascii="Times New Roman" w:hAnsi="Times New Roman"/>
          <w:sz w:val="28"/>
          <w:szCs w:val="28"/>
        </w:rPr>
        <w:t>категории логистических рисков в таможенном деле.</w:t>
      </w:r>
    </w:p>
    <w:p w:rsidR="00732A1E" w:rsidRPr="00732A1E" w:rsidRDefault="006C5B9C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 xml:space="preserve">Отличия </w:t>
      </w:r>
      <w:r w:rsidR="00732A1E" w:rsidRPr="00732A1E">
        <w:rPr>
          <w:rFonts w:ascii="Times New Roman" w:hAnsi="Times New Roman"/>
          <w:sz w:val="28"/>
          <w:szCs w:val="28"/>
        </w:rPr>
        <w:t>внешних и внутренних логистических рисков в контексте таможенного дела.</w:t>
      </w:r>
    </w:p>
    <w:p w:rsidR="00732A1E" w:rsidRPr="00732A1E" w:rsidRDefault="006C5B9C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 xml:space="preserve">Транспортные </w:t>
      </w:r>
      <w:r w:rsidR="00732A1E" w:rsidRPr="00732A1E">
        <w:rPr>
          <w:rFonts w:ascii="Times New Roman" w:hAnsi="Times New Roman"/>
          <w:sz w:val="28"/>
          <w:szCs w:val="28"/>
        </w:rPr>
        <w:t>риски в логистике таможенного дела.</w:t>
      </w:r>
    </w:p>
    <w:p w:rsidR="00732A1E" w:rsidRPr="00732A1E" w:rsidRDefault="006C5B9C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Риски</w:t>
      </w:r>
      <w:r w:rsidR="00732A1E" w:rsidRPr="00732A1E">
        <w:rPr>
          <w:rFonts w:ascii="Times New Roman" w:hAnsi="Times New Roman"/>
          <w:sz w:val="28"/>
          <w:szCs w:val="28"/>
        </w:rPr>
        <w:t>, связанные с там</w:t>
      </w:r>
      <w:r>
        <w:rPr>
          <w:rFonts w:ascii="Times New Roman" w:hAnsi="Times New Roman"/>
          <w:sz w:val="28"/>
          <w:szCs w:val="28"/>
        </w:rPr>
        <w:t>оженным оформлением и контролем.</w:t>
      </w:r>
    </w:p>
    <w:p w:rsidR="00732A1E" w:rsidRPr="00732A1E" w:rsidRDefault="006C5B9C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 xml:space="preserve">Риски </w:t>
      </w:r>
      <w:r w:rsidR="00732A1E" w:rsidRPr="00732A1E">
        <w:rPr>
          <w:rFonts w:ascii="Times New Roman" w:hAnsi="Times New Roman"/>
          <w:sz w:val="28"/>
          <w:szCs w:val="28"/>
        </w:rPr>
        <w:t>при взаимодействии с та</w:t>
      </w:r>
      <w:r>
        <w:rPr>
          <w:rFonts w:ascii="Times New Roman" w:hAnsi="Times New Roman"/>
          <w:sz w:val="28"/>
          <w:szCs w:val="28"/>
        </w:rPr>
        <w:t>моженными органами и партнёрами.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Классификация рисков, связанных с документацией и соблюдением таможенных норм и правил.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lastRenderedPageBreak/>
        <w:t>Риски, связанные с таможенным оформлением и декларированием то</w:t>
      </w:r>
      <w:r>
        <w:rPr>
          <w:rFonts w:ascii="Times New Roman" w:hAnsi="Times New Roman"/>
          <w:sz w:val="28"/>
          <w:szCs w:val="28"/>
        </w:rPr>
        <w:t>варов.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Риски при транспортировке и хранении товаров</w:t>
      </w:r>
      <w:r>
        <w:rPr>
          <w:rFonts w:ascii="Times New Roman" w:hAnsi="Times New Roman"/>
          <w:sz w:val="28"/>
          <w:szCs w:val="28"/>
        </w:rPr>
        <w:t>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Нормативные акты, регулирующие управление логистически</w:t>
      </w:r>
      <w:r>
        <w:rPr>
          <w:rFonts w:ascii="Times New Roman" w:hAnsi="Times New Roman"/>
          <w:sz w:val="28"/>
          <w:szCs w:val="28"/>
        </w:rPr>
        <w:t>ми рисками в таможенном деле.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Требования к участникам логистических проце</w:t>
      </w:r>
      <w:r>
        <w:rPr>
          <w:rFonts w:ascii="Times New Roman" w:hAnsi="Times New Roman"/>
          <w:sz w:val="28"/>
          <w:szCs w:val="28"/>
        </w:rPr>
        <w:t>ссов в части управления рисками.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Меры ответственности за нарушение требований по уп</w:t>
      </w:r>
      <w:r>
        <w:rPr>
          <w:rFonts w:ascii="Times New Roman" w:hAnsi="Times New Roman"/>
          <w:sz w:val="28"/>
          <w:szCs w:val="28"/>
        </w:rPr>
        <w:t>равлению логистическими рисками.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Правовое регулирование с</w:t>
      </w:r>
      <w:r>
        <w:rPr>
          <w:rFonts w:ascii="Times New Roman" w:hAnsi="Times New Roman"/>
          <w:sz w:val="28"/>
          <w:szCs w:val="28"/>
        </w:rPr>
        <w:t>трахования логистических рисков.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Международные соглашения, влияющие на управление логистическими рисками в таможенном деле.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Методы иде</w:t>
      </w:r>
      <w:r>
        <w:rPr>
          <w:rFonts w:ascii="Times New Roman" w:hAnsi="Times New Roman"/>
          <w:sz w:val="28"/>
          <w:szCs w:val="28"/>
        </w:rPr>
        <w:t>нтификации логистических рисков.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Оценка вероятности и п</w:t>
      </w:r>
      <w:r>
        <w:rPr>
          <w:rFonts w:ascii="Times New Roman" w:hAnsi="Times New Roman"/>
          <w:sz w:val="28"/>
          <w:szCs w:val="28"/>
        </w:rPr>
        <w:t>оследствий логистических рисков.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Инструменты д</w:t>
      </w:r>
      <w:r>
        <w:rPr>
          <w:rFonts w:ascii="Times New Roman" w:hAnsi="Times New Roman"/>
          <w:sz w:val="28"/>
          <w:szCs w:val="28"/>
        </w:rPr>
        <w:t>ля анализа логистических рисков.</w:t>
      </w:r>
    </w:p>
    <w:p w:rsid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 xml:space="preserve">Мониторинг </w:t>
      </w:r>
      <w:r>
        <w:rPr>
          <w:rFonts w:ascii="Times New Roman" w:hAnsi="Times New Roman"/>
          <w:sz w:val="28"/>
          <w:szCs w:val="28"/>
        </w:rPr>
        <w:t>и контроль логистических рисков.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 xml:space="preserve"> Подходы к прогнозированию логистических рисков.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Стратегии управления логистическими рисками</w:t>
      </w:r>
      <w:r>
        <w:rPr>
          <w:rFonts w:ascii="Times New Roman" w:hAnsi="Times New Roman"/>
          <w:sz w:val="28"/>
          <w:szCs w:val="28"/>
        </w:rPr>
        <w:t>, применяемые в таможенном деле.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Разработка и реализация стра</w:t>
      </w:r>
      <w:r>
        <w:rPr>
          <w:rFonts w:ascii="Times New Roman" w:hAnsi="Times New Roman"/>
          <w:sz w:val="28"/>
          <w:szCs w:val="28"/>
        </w:rPr>
        <w:t>тегий управления рисками.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Факторы, учитываемые при выбо</w:t>
      </w:r>
      <w:r>
        <w:rPr>
          <w:rFonts w:ascii="Times New Roman" w:hAnsi="Times New Roman"/>
          <w:sz w:val="28"/>
          <w:szCs w:val="28"/>
        </w:rPr>
        <w:t>ре стратегии управления рисками.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Реализация стратегии м</w:t>
      </w:r>
      <w:r>
        <w:rPr>
          <w:rFonts w:ascii="Times New Roman" w:hAnsi="Times New Roman"/>
          <w:sz w:val="28"/>
          <w:szCs w:val="28"/>
        </w:rPr>
        <w:t>инимизации логистических рисков.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Меры для повышения устойчивости логистических систем к рискам.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Способы минимизации логистических рисков</w:t>
      </w:r>
      <w:r>
        <w:rPr>
          <w:rFonts w:ascii="Times New Roman" w:hAnsi="Times New Roman"/>
          <w:sz w:val="28"/>
          <w:szCs w:val="28"/>
        </w:rPr>
        <w:t>, применяемые в таможенном деле.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 xml:space="preserve">Страхование </w:t>
      </w:r>
      <w:r>
        <w:rPr>
          <w:rFonts w:ascii="Times New Roman" w:hAnsi="Times New Roman"/>
          <w:sz w:val="28"/>
          <w:szCs w:val="28"/>
        </w:rPr>
        <w:t>логистических рисков.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Меры контроля дл</w:t>
      </w:r>
      <w:r>
        <w:rPr>
          <w:rFonts w:ascii="Times New Roman" w:hAnsi="Times New Roman"/>
          <w:sz w:val="28"/>
          <w:szCs w:val="28"/>
        </w:rPr>
        <w:t>я снижения логистических рисков.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Использование информационных технологий для м</w:t>
      </w:r>
      <w:r>
        <w:rPr>
          <w:rFonts w:ascii="Times New Roman" w:hAnsi="Times New Roman"/>
          <w:sz w:val="28"/>
          <w:szCs w:val="28"/>
        </w:rPr>
        <w:t>инимизации логистических рисков.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Методы управления рисками при международных перевозках.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Информационные технологии, применяемые для уп</w:t>
      </w:r>
      <w:r>
        <w:rPr>
          <w:rFonts w:ascii="Times New Roman" w:hAnsi="Times New Roman"/>
          <w:sz w:val="28"/>
          <w:szCs w:val="28"/>
        </w:rPr>
        <w:t>равления логистическими рисками.</w:t>
      </w:r>
    </w:p>
    <w:p w:rsid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Как информационные системы помогают в идентификаци</w:t>
      </w:r>
      <w:r>
        <w:rPr>
          <w:rFonts w:ascii="Times New Roman" w:hAnsi="Times New Roman"/>
          <w:sz w:val="28"/>
          <w:szCs w:val="28"/>
        </w:rPr>
        <w:t>и и оценке логистических рисков.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 xml:space="preserve"> Преимущества автоматизированных</w:t>
      </w:r>
      <w:r>
        <w:rPr>
          <w:rFonts w:ascii="Times New Roman" w:hAnsi="Times New Roman"/>
          <w:sz w:val="28"/>
          <w:szCs w:val="28"/>
        </w:rPr>
        <w:t xml:space="preserve"> систем управления рисками.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Интеграция информационных систем для уп</w:t>
      </w:r>
      <w:r>
        <w:rPr>
          <w:rFonts w:ascii="Times New Roman" w:hAnsi="Times New Roman"/>
          <w:sz w:val="28"/>
          <w:szCs w:val="28"/>
        </w:rPr>
        <w:t>равления логистическими рисками.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Перспективы развития информационных технологий в области управления логистическими рисками.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lastRenderedPageBreak/>
        <w:t>Особенности управления логистическими рисками при различных видах таможенных операций (транзитные перевозки, временное хран</w:t>
      </w:r>
      <w:r>
        <w:rPr>
          <w:rFonts w:ascii="Times New Roman" w:hAnsi="Times New Roman"/>
          <w:sz w:val="28"/>
          <w:szCs w:val="28"/>
        </w:rPr>
        <w:t>ение товаров и т. д.).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Риски, связанные с таможенным оформлен</w:t>
      </w:r>
      <w:r>
        <w:rPr>
          <w:rFonts w:ascii="Times New Roman" w:hAnsi="Times New Roman"/>
          <w:sz w:val="28"/>
          <w:szCs w:val="28"/>
        </w:rPr>
        <w:t>ием различных категорий товаров.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Управление рисками при межд</w:t>
      </w:r>
      <w:r>
        <w:rPr>
          <w:rFonts w:ascii="Times New Roman" w:hAnsi="Times New Roman"/>
          <w:sz w:val="28"/>
          <w:szCs w:val="28"/>
        </w:rPr>
        <w:t>ународных почтовых отправлениях.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Меры для управления рисками при пе</w:t>
      </w:r>
      <w:r>
        <w:rPr>
          <w:rFonts w:ascii="Times New Roman" w:hAnsi="Times New Roman"/>
          <w:sz w:val="28"/>
          <w:szCs w:val="28"/>
        </w:rPr>
        <w:t>ремещении товаров через границы.</w:t>
      </w:r>
    </w:p>
    <w:p w:rsid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Управление рисками при использовании различных видов транспорта для международных перевозок.</w:t>
      </w:r>
    </w:p>
    <w:p w:rsid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Использование систем управления транспортными потоками для оптимизации маршруто</w:t>
      </w:r>
      <w:r>
        <w:rPr>
          <w:rFonts w:ascii="Times New Roman" w:hAnsi="Times New Roman"/>
          <w:sz w:val="28"/>
          <w:szCs w:val="28"/>
        </w:rPr>
        <w:t>в и сокращения времени доставки.</w:t>
      </w:r>
    </w:p>
    <w:p w:rsid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Внедрение технологий IoT (интернета вещей) для мониторинга состояния грузов и условий тра</w:t>
      </w:r>
      <w:r>
        <w:rPr>
          <w:rFonts w:ascii="Times New Roman" w:hAnsi="Times New Roman"/>
          <w:sz w:val="28"/>
          <w:szCs w:val="28"/>
        </w:rPr>
        <w:t>нспортировки в реальном времени.</w:t>
      </w:r>
    </w:p>
    <w:p w:rsid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Применение блокчейн-технологий для обеспечения прозрачности и неизменности д</w:t>
      </w:r>
      <w:r>
        <w:rPr>
          <w:rFonts w:ascii="Times New Roman" w:hAnsi="Times New Roman"/>
          <w:sz w:val="28"/>
          <w:szCs w:val="28"/>
        </w:rPr>
        <w:t>анных о логистических операциях.</w:t>
      </w:r>
    </w:p>
    <w:p w:rsidR="00732A1E" w:rsidRPr="00732A1E" w:rsidRDefault="00732A1E" w:rsidP="00732A1E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2A1E">
        <w:rPr>
          <w:rFonts w:ascii="Times New Roman" w:hAnsi="Times New Roman"/>
          <w:sz w:val="28"/>
          <w:szCs w:val="28"/>
        </w:rPr>
        <w:t>Использование аналитических платформ для прогнозирования спроса и</w:t>
      </w:r>
      <w:r>
        <w:rPr>
          <w:rFonts w:ascii="Times New Roman" w:hAnsi="Times New Roman"/>
          <w:sz w:val="28"/>
          <w:szCs w:val="28"/>
        </w:rPr>
        <w:t xml:space="preserve"> оптимизации запасов на складах.</w:t>
      </w:r>
    </w:p>
    <w:p w:rsidR="007D60E4" w:rsidRPr="00A9087A" w:rsidRDefault="007D60E4" w:rsidP="006C5B9C">
      <w:pPr>
        <w:pStyle w:val="13"/>
        <w:tabs>
          <w:tab w:val="left" w:pos="450"/>
          <w:tab w:val="left" w:pos="743"/>
        </w:tabs>
        <w:spacing w:after="0" w:line="30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7D60E4" w:rsidRPr="00A9087A" w:rsidRDefault="007D60E4" w:rsidP="002210B9">
      <w:pPr>
        <w:pStyle w:val="13"/>
        <w:tabs>
          <w:tab w:val="left" w:pos="450"/>
          <w:tab w:val="left" w:pos="743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CA7CF3" w:rsidRPr="00CE489B" w:rsidRDefault="00CA7CF3" w:rsidP="00A82762">
      <w:pPr>
        <w:widowControl/>
        <w:suppressAutoHyphens w:val="0"/>
        <w:spacing w:after="0" w:line="30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bookmarkStart w:id="0" w:name="_GoBack"/>
      <w:bookmarkEnd w:id="0"/>
    </w:p>
    <w:sectPr w:rsidR="00CA7CF3" w:rsidRPr="00CE489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1C8" w:rsidRDefault="002271C8">
      <w:pPr>
        <w:spacing w:line="240" w:lineRule="auto"/>
      </w:pPr>
      <w:r>
        <w:separator/>
      </w:r>
    </w:p>
  </w:endnote>
  <w:endnote w:type="continuationSeparator" w:id="0">
    <w:p w:rsidR="002271C8" w:rsidRDefault="002271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Times New Roman"/>
    <w:charset w:val="01"/>
    <w:family w:val="swiss"/>
    <w:pitch w:val="default"/>
  </w:font>
  <w:font w:name="PingFang SC"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1C8" w:rsidRDefault="002271C8">
      <w:pPr>
        <w:spacing w:after="0"/>
      </w:pPr>
      <w:r>
        <w:separator/>
      </w:r>
    </w:p>
  </w:footnote>
  <w:footnote w:type="continuationSeparator" w:id="0">
    <w:p w:rsidR="002271C8" w:rsidRDefault="002271C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FCC1AD"/>
    <w:multiLevelType w:val="multilevel"/>
    <w:tmpl w:val="A3FCC1A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CFFE0A0C"/>
    <w:multiLevelType w:val="multilevel"/>
    <w:tmpl w:val="CFFE0A0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DFE75F46"/>
    <w:multiLevelType w:val="multilevel"/>
    <w:tmpl w:val="DFE75F46"/>
    <w:lvl w:ilvl="0">
      <w:start w:val="2"/>
      <w:numFmt w:val="decimal"/>
      <w:suff w:val="space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 w15:restartNumberingAfterBreak="0">
    <w:nsid w:val="FEED5068"/>
    <w:multiLevelType w:val="multilevel"/>
    <w:tmpl w:val="FEED506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FFFF4C7B"/>
    <w:multiLevelType w:val="multilevel"/>
    <w:tmpl w:val="FFFF4C7B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9167E8"/>
    <w:multiLevelType w:val="multilevel"/>
    <w:tmpl w:val="FFFF4C7B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3807B8"/>
    <w:multiLevelType w:val="hybridMultilevel"/>
    <w:tmpl w:val="78D27A10"/>
    <w:lvl w:ilvl="0" w:tplc="BB4A9F86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ECA4FA6"/>
    <w:multiLevelType w:val="hybridMultilevel"/>
    <w:tmpl w:val="CE8096D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CF3"/>
    <w:rsid w:val="00023F80"/>
    <w:rsid w:val="00066EE8"/>
    <w:rsid w:val="000C2F71"/>
    <w:rsid w:val="000C30FD"/>
    <w:rsid w:val="000C78AE"/>
    <w:rsid w:val="000D22C7"/>
    <w:rsid w:val="001016B6"/>
    <w:rsid w:val="00135323"/>
    <w:rsid w:val="00146485"/>
    <w:rsid w:val="00173F34"/>
    <w:rsid w:val="001960F8"/>
    <w:rsid w:val="001B1E86"/>
    <w:rsid w:val="002154E2"/>
    <w:rsid w:val="002210B9"/>
    <w:rsid w:val="0022526E"/>
    <w:rsid w:val="002271C8"/>
    <w:rsid w:val="0026346F"/>
    <w:rsid w:val="002C29F8"/>
    <w:rsid w:val="002C7ACD"/>
    <w:rsid w:val="002F2F77"/>
    <w:rsid w:val="003D696B"/>
    <w:rsid w:val="003E37E2"/>
    <w:rsid w:val="0041090B"/>
    <w:rsid w:val="00487FF2"/>
    <w:rsid w:val="004E5D21"/>
    <w:rsid w:val="00510EEE"/>
    <w:rsid w:val="00524142"/>
    <w:rsid w:val="00544016"/>
    <w:rsid w:val="00563C28"/>
    <w:rsid w:val="005D7902"/>
    <w:rsid w:val="0065144C"/>
    <w:rsid w:val="00675174"/>
    <w:rsid w:val="006C5B9C"/>
    <w:rsid w:val="006D099E"/>
    <w:rsid w:val="00732A1E"/>
    <w:rsid w:val="00752A34"/>
    <w:rsid w:val="00771B22"/>
    <w:rsid w:val="007A31D6"/>
    <w:rsid w:val="007B6D38"/>
    <w:rsid w:val="007D60E4"/>
    <w:rsid w:val="007F6E39"/>
    <w:rsid w:val="008019A5"/>
    <w:rsid w:val="008026CE"/>
    <w:rsid w:val="0083154F"/>
    <w:rsid w:val="008372ED"/>
    <w:rsid w:val="00895179"/>
    <w:rsid w:val="008B105C"/>
    <w:rsid w:val="008B24CB"/>
    <w:rsid w:val="008D2542"/>
    <w:rsid w:val="009038FA"/>
    <w:rsid w:val="00903EBF"/>
    <w:rsid w:val="00947B21"/>
    <w:rsid w:val="009663A0"/>
    <w:rsid w:val="009811EE"/>
    <w:rsid w:val="009D7625"/>
    <w:rsid w:val="009E5B6A"/>
    <w:rsid w:val="009E606E"/>
    <w:rsid w:val="00A361A5"/>
    <w:rsid w:val="00A6060C"/>
    <w:rsid w:val="00A72A98"/>
    <w:rsid w:val="00A82762"/>
    <w:rsid w:val="00A9018D"/>
    <w:rsid w:val="00A9087A"/>
    <w:rsid w:val="00AA09DE"/>
    <w:rsid w:val="00AE0944"/>
    <w:rsid w:val="00AF1B78"/>
    <w:rsid w:val="00AF5171"/>
    <w:rsid w:val="00B01023"/>
    <w:rsid w:val="00B11636"/>
    <w:rsid w:val="00B11F35"/>
    <w:rsid w:val="00B335F0"/>
    <w:rsid w:val="00B45845"/>
    <w:rsid w:val="00B94081"/>
    <w:rsid w:val="00C132AA"/>
    <w:rsid w:val="00C242E5"/>
    <w:rsid w:val="00C50A3A"/>
    <w:rsid w:val="00C62BAE"/>
    <w:rsid w:val="00CA7CF3"/>
    <w:rsid w:val="00CE489B"/>
    <w:rsid w:val="00CE735C"/>
    <w:rsid w:val="00D02159"/>
    <w:rsid w:val="00D548A8"/>
    <w:rsid w:val="00D84E6B"/>
    <w:rsid w:val="00DB078F"/>
    <w:rsid w:val="00E13B2E"/>
    <w:rsid w:val="00E21E52"/>
    <w:rsid w:val="00EA6FF2"/>
    <w:rsid w:val="00ED1355"/>
    <w:rsid w:val="00F236E7"/>
    <w:rsid w:val="00F33AC7"/>
    <w:rsid w:val="00F64371"/>
    <w:rsid w:val="00FE0D83"/>
    <w:rsid w:val="1CB7963F"/>
    <w:rsid w:val="544FE29E"/>
    <w:rsid w:val="5BEF0C48"/>
    <w:rsid w:val="6FE6BCC5"/>
    <w:rsid w:val="79BFD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BCCD"/>
  <w15:docId w15:val="{FEF427B2-85D4-4C8D-9B30-6C0E8C340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E52"/>
    <w:pPr>
      <w:widowControl w:val="0"/>
      <w:suppressAutoHyphens/>
      <w:spacing w:after="200" w:line="276" w:lineRule="auto"/>
    </w:pPr>
    <w:rPr>
      <w:rFonts w:eastAsia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361A5"/>
    <w:pPr>
      <w:keepNext/>
      <w:widowControl/>
      <w:suppressAutoHyphens w:val="0"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361A5"/>
    <w:pPr>
      <w:keepNext/>
      <w:widowControl/>
      <w:suppressAutoHyphens w:val="0"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361A5"/>
    <w:pPr>
      <w:keepNext/>
      <w:widowControl/>
      <w:suppressAutoHyphens w:val="0"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A361A5"/>
    <w:pPr>
      <w:keepNext/>
      <w:widowControl/>
      <w:suppressAutoHyphens w:val="0"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</w:style>
  <w:style w:type="paragraph" w:styleId="a4">
    <w:name w:val="caption"/>
    <w:basedOn w:val="a"/>
    <w:next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5">
    <w:name w:val="List"/>
    <w:basedOn w:val="a3"/>
    <w:qFormat/>
    <w:rPr>
      <w:rFonts w:cs="Arial Unicode MS"/>
    </w:rPr>
  </w:style>
  <w:style w:type="character" w:customStyle="1" w:styleId="a6">
    <w:name w:val="Привязка сноски"/>
    <w:qFormat/>
    <w:rPr>
      <w:vertAlign w:val="superscript"/>
    </w:rPr>
  </w:style>
  <w:style w:type="character" w:customStyle="1" w:styleId="a7">
    <w:name w:val="Символ сноски"/>
    <w:qFormat/>
  </w:style>
  <w:style w:type="character" w:customStyle="1" w:styleId="a8">
    <w:name w:val="Маркеры списка"/>
    <w:qFormat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  <w:rPr>
      <w:rFonts w:cs="Arial Unicode MS"/>
    </w:rPr>
  </w:style>
  <w:style w:type="paragraph" w:customStyle="1" w:styleId="13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361A5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semiHidden/>
    <w:rsid w:val="00A361A5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A361A5"/>
    <w:rPr>
      <w:rFonts w:ascii="Cambria" w:eastAsia="Calibri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semiHidden/>
    <w:rsid w:val="00A361A5"/>
    <w:rPr>
      <w:rFonts w:ascii="Calibri" w:eastAsia="Calibri" w:hAnsi="Calibri" w:cs="Times New Roman"/>
      <w:b/>
      <w:bCs/>
      <w:sz w:val="28"/>
      <w:szCs w:val="28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A361A5"/>
  </w:style>
  <w:style w:type="numbering" w:customStyle="1" w:styleId="110">
    <w:name w:val="Нет списка11"/>
    <w:next w:val="a2"/>
    <w:uiPriority w:val="99"/>
    <w:semiHidden/>
    <w:unhideWhenUsed/>
    <w:rsid w:val="00A361A5"/>
  </w:style>
  <w:style w:type="character" w:styleId="a9">
    <w:name w:val="Hyperlink"/>
    <w:basedOn w:val="a0"/>
    <w:uiPriority w:val="99"/>
    <w:semiHidden/>
    <w:unhideWhenUsed/>
    <w:rsid w:val="00A361A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361A5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A361A5"/>
    <w:pPr>
      <w:widowControl/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Title"/>
    <w:basedOn w:val="a"/>
    <w:next w:val="a"/>
    <w:link w:val="ad"/>
    <w:uiPriority w:val="99"/>
    <w:qFormat/>
    <w:rsid w:val="00A361A5"/>
    <w:pPr>
      <w:widowControl/>
      <w:suppressAutoHyphens w:val="0"/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uiPriority w:val="99"/>
    <w:rsid w:val="00A361A5"/>
    <w:rPr>
      <w:rFonts w:ascii="Cambria" w:eastAsia="Calibri" w:hAnsi="Cambria" w:cs="Times New Roman"/>
      <w:b/>
      <w:bCs/>
      <w:kern w:val="28"/>
      <w:sz w:val="32"/>
      <w:szCs w:val="3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A361A5"/>
    <w:pPr>
      <w:widowControl/>
      <w:suppressAutoHyphens w:val="0"/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361A5"/>
    <w:rPr>
      <w:rFonts w:ascii="Tahoma" w:eastAsia="Calibri" w:hAnsi="Tahoma" w:cs="Tahoma"/>
      <w:sz w:val="16"/>
      <w:szCs w:val="16"/>
      <w:lang w:eastAsia="en-US"/>
    </w:rPr>
  </w:style>
  <w:style w:type="table" w:styleId="af0">
    <w:name w:val="Table Grid"/>
    <w:basedOn w:val="a1"/>
    <w:uiPriority w:val="59"/>
    <w:rsid w:val="00A361A5"/>
    <w:rPr>
      <w:rFonts w:ascii="Times New Roman" w:eastAsia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9D7625"/>
    <w:pPr>
      <w:widowControl/>
      <w:suppressAutoHyphens w:val="0"/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7</cp:revision>
  <dcterms:created xsi:type="dcterms:W3CDTF">2025-06-05T12:06:00Z</dcterms:created>
  <dcterms:modified xsi:type="dcterms:W3CDTF">2026-10-27T13:46:00Z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KSOProductBuildVer">
    <vt:lpwstr>1033-4.9.0.7859</vt:lpwstr>
  </property>
  <property fmtid="{D5CDD505-2E9C-101B-9397-08002B2CF9AE}" pid="4" name="LinksUpToDate">
    <vt:bool>false</vt:bool>
  </property>
  <property fmtid="{D5CDD505-2E9C-101B-9397-08002B2CF9AE}" pid="5" name="ScaleCrop">
    <vt:bool>false</vt:bool>
  </property>
</Properties>
</file>