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7F" w:rsidRPr="006D35B7" w:rsidRDefault="00D0757F" w:rsidP="006D35B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GoBack"/>
      <w:bookmarkEnd w:id="0"/>
      <w:r w:rsidRPr="006D35B7">
        <w:rPr>
          <w:rFonts w:ascii="Times New Roman" w:hAnsi="Times New Roman"/>
          <w:snapToGrid w:val="0"/>
          <w:sz w:val="20"/>
          <w:szCs w:val="20"/>
        </w:rPr>
        <w:t>Назначение и классификация тяговых подстанций. Требования, предъяв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 xml:space="preserve">ляемые к тяговым подстанциям (в соответствии с ПУ СТЭ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ж.д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РФ).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Схемы присоединения тяговых подстанций к сетям электрических систем.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Структурные схемы тяговых подстанций постоянного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Структурные схемы тяговых подстанций переменного тока системы 25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, 2х25кВ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50 Гц и 15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16 2/3 Гц.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Принципы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построения  СТЭ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переменного и постоянного тока повышенного напряжения.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Назначение и схемы питания трансформаторных подстанций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ж.д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потребителей.  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Электрическая аппаратура тяговых и трансформаторных подстанций и её назначение.  Типо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вые схемы отдельных присоединений тяговых и трансформаторных подстанций.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Конструкции распределительных устройств трансформаторных подстанций. 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Однолинейные схемы трансформаторных подстанций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с  напряжением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10, 35 и 110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Конструктивное выполнение трансформаторных подстанций.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ОРУ-110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опорной тяговой подстанции.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ОРУ-110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  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транзитной тяговой подстанции.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ОРУ-110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отпаечной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тяговой подстанции.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ОРУ-27,5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 2х27,5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ОРУ-35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для питания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нетяговых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потребителей.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РУ-10 (6)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Схема главных электрических соединений и конструктивное выполнение РУ-3,3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Силовая схема и конструктивное выполнение постов секционирования в системе 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электрической тяги переменного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Силовая схема и конструктивное выполнение постов секционирования и пунктов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параллельного соединения в системе электрической тяги постоянного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Силовая схема и конструктивное выполнение автотрансформаторных пунктов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системы электрической тяги 2х25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Передвижные тяговые подстанции.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Пункты группировки станций стыкования постоянного и переменного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Функционально-блочное построение тяговых подстанций и постов секци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онирования.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Мероприятия на тяговых и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трансформаторных  под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станциях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по технике безопасности и противопожарной защите. Основы технической эксплуатации тяговых и трансформаторных подстанций.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tabs>
          <w:tab w:val="left" w:pos="2250"/>
        </w:tabs>
        <w:spacing w:before="222"/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Режимы работы электрический сетей напряжением выше 1000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В .</w:t>
      </w:r>
      <w:proofErr w:type="gramEnd"/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Причины возникновения и последствия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системе электроснабжения.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Виды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Цель расчетов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Допущения при расчете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Процесс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 при питании места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="006D35B7" w:rsidRPr="006D35B7">
        <w:rPr>
          <w:rFonts w:ascii="Times New Roman" w:hAnsi="Times New Roman"/>
          <w:snapToGrid w:val="0"/>
          <w:sz w:val="20"/>
          <w:szCs w:val="20"/>
        </w:rPr>
        <w:t xml:space="preserve">. от системы неограниченной </w:t>
      </w:r>
      <w:proofErr w:type="gramStart"/>
      <w:r w:rsidR="006D35B7" w:rsidRPr="006D35B7">
        <w:rPr>
          <w:rFonts w:ascii="Times New Roman" w:hAnsi="Times New Roman"/>
          <w:snapToGrid w:val="0"/>
          <w:sz w:val="20"/>
          <w:szCs w:val="20"/>
        </w:rPr>
        <w:t>мощ</w:t>
      </w:r>
      <w:r w:rsidRPr="006D35B7">
        <w:rPr>
          <w:rFonts w:ascii="Times New Roman" w:hAnsi="Times New Roman"/>
          <w:snapToGrid w:val="0"/>
          <w:sz w:val="20"/>
          <w:szCs w:val="20"/>
        </w:rPr>
        <w:t>ности .Аналитическое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выражение для тока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Ударный ток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и его аналитическое определение.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Процесс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при питании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от системы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ограниченной мощнос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ти (без АРВ и с АРВ).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Векторные диаграммы различных видов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Оценка влияния начальной фазы напряжения и тока нагрузки на процесс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Определение сопротивлений цепи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именованных единицах и поря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 xml:space="preserve">док расчета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этом случае.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Определение сопротивлений цепи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относительных единицах и по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 xml:space="preserve">рядок расчета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этом случае.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Понятие о расчете несимметричных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методом симметричных составляющих. Упрощенный способ расчета несимметричных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Процесс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 и расчет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на стороне выпрямленного напряже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ния тяговых подстанций постоянного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Расчет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в установках напряжением до 1000 В.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Динамическое действие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 Электродинамическая стойкость ап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паратов и токоведущих частей.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lastRenderedPageBreak/>
        <w:t xml:space="preserve">Термическое действие токов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. Термическая стойкость токоведущих частей и аппаратов. Тепловой импульс тока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к.з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>. и его расчет.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Выбор и проверка токоведущих частей, кабелей и изоляторов. 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Выбор и проверка коммутационной аппаратуры (вы</w:t>
      </w:r>
      <w:r w:rsidR="006D35B7" w:rsidRPr="006D35B7">
        <w:rPr>
          <w:rFonts w:ascii="Times New Roman" w:hAnsi="Times New Roman"/>
          <w:snapToGrid w:val="0"/>
          <w:sz w:val="20"/>
          <w:szCs w:val="20"/>
        </w:rPr>
        <w:t>соковольтных выключателей пере</w:t>
      </w:r>
      <w:r w:rsidRPr="006D35B7">
        <w:rPr>
          <w:rFonts w:ascii="Times New Roman" w:hAnsi="Times New Roman"/>
          <w:snapToGrid w:val="0"/>
          <w:sz w:val="20"/>
          <w:szCs w:val="20"/>
        </w:rPr>
        <w:t xml:space="preserve">менного и постоянного тока,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разъединителей ,отделителей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>, короткозамыкателей).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Трансформаторы тока, их выбор и проверка.</w:t>
      </w:r>
    </w:p>
    <w:p w:rsidR="006D35B7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Трансформаторы напряжения, их выбор и проверка.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Электрическая дуга и её гашение в цепях постоянного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Электрическая дуга и её гашение в цепях переменного тока.</w:t>
      </w:r>
    </w:p>
    <w:p w:rsidR="006D35B7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Электрические контакты. Типы кон</w:t>
      </w:r>
      <w:r w:rsidR="006D35B7" w:rsidRPr="006D35B7">
        <w:rPr>
          <w:rFonts w:ascii="Times New Roman" w:hAnsi="Times New Roman"/>
          <w:snapToGrid w:val="0"/>
          <w:sz w:val="20"/>
          <w:szCs w:val="20"/>
        </w:rPr>
        <w:t>тактов. Износ контактов электри</w:t>
      </w:r>
      <w:r w:rsidRPr="006D35B7">
        <w:rPr>
          <w:rFonts w:ascii="Times New Roman" w:hAnsi="Times New Roman"/>
          <w:snapToGrid w:val="0"/>
          <w:sz w:val="20"/>
          <w:szCs w:val="20"/>
        </w:rPr>
        <w:t xml:space="preserve">ческих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аппаратов .</w:t>
      </w:r>
      <w:proofErr w:type="gramEnd"/>
    </w:p>
    <w:p w:rsidR="006D35B7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Собственные нужды переменного тока тяговых подстанций. Выбор мощности ТСН.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Аккумуляторные батареи тяговых подстанций и их выбор. Зарядно-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подзарядные</w:t>
      </w:r>
      <w:proofErr w:type="spellEnd"/>
      <w:r w:rsidRPr="006D35B7">
        <w:rPr>
          <w:rFonts w:ascii="Times New Roman" w:hAnsi="Times New Roman"/>
          <w:snapToGrid w:val="0"/>
          <w:sz w:val="20"/>
          <w:szCs w:val="20"/>
        </w:rPr>
        <w:t xml:space="preserve"> устройства.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Устройства поперечной емкостной компенсации.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Устройства продольной емкостной компенсации.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Устройства для регулирования уровня напряжения на тяговых подстан</w:t>
      </w:r>
      <w:r w:rsidRPr="006D35B7">
        <w:rPr>
          <w:rFonts w:ascii="Times New Roman" w:hAnsi="Times New Roman"/>
          <w:snapToGrid w:val="0"/>
          <w:sz w:val="20"/>
          <w:szCs w:val="20"/>
        </w:rPr>
        <w:softHyphen/>
        <w:t>циях постоянного и переменного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Выпрямительные и инверторные агрегаты тяговых подстанций.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Сглаживающие устройства тяговых подстанций.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Разрядные устройства тяговых подстанций постоянного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тока .</w:t>
      </w:r>
      <w:proofErr w:type="gram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Вторичные цепи тяговых </w:t>
      </w:r>
      <w:proofErr w:type="gramStart"/>
      <w:r w:rsidRPr="006D35B7">
        <w:rPr>
          <w:rFonts w:ascii="Times New Roman" w:hAnsi="Times New Roman"/>
          <w:snapToGrid w:val="0"/>
          <w:sz w:val="20"/>
          <w:szCs w:val="20"/>
        </w:rPr>
        <w:t>и  трансформаторных</w:t>
      </w:r>
      <w:proofErr w:type="gramEnd"/>
      <w:r w:rsidRPr="006D35B7">
        <w:rPr>
          <w:rFonts w:ascii="Times New Roman" w:hAnsi="Times New Roman"/>
          <w:snapToGrid w:val="0"/>
          <w:sz w:val="20"/>
          <w:szCs w:val="20"/>
        </w:rPr>
        <w:t xml:space="preserve"> подстанций.</w:t>
      </w:r>
      <w:r w:rsidR="006D35B7" w:rsidRPr="006D35B7">
        <w:rPr>
          <w:rFonts w:ascii="Times New Roman" w:hAnsi="Times New Roman"/>
          <w:snapToGrid w:val="0"/>
          <w:sz w:val="20"/>
          <w:szCs w:val="20"/>
        </w:rPr>
        <w:t xml:space="preserve"> Дистанционное управление комму</w:t>
      </w:r>
      <w:r w:rsidRPr="006D35B7">
        <w:rPr>
          <w:rFonts w:ascii="Times New Roman" w:hAnsi="Times New Roman"/>
          <w:snapToGrid w:val="0"/>
          <w:sz w:val="20"/>
          <w:szCs w:val="20"/>
        </w:rPr>
        <w:t>тационными аппаратами.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Контрольно-измерительные приборы тяговых и тра</w:t>
      </w:r>
      <w:r w:rsidR="006D35B7" w:rsidRPr="006D35B7">
        <w:rPr>
          <w:rFonts w:ascii="Times New Roman" w:hAnsi="Times New Roman"/>
          <w:snapToGrid w:val="0"/>
          <w:sz w:val="20"/>
          <w:szCs w:val="20"/>
        </w:rPr>
        <w:t xml:space="preserve">нсформаторных подстанций. Учет </w:t>
      </w:r>
      <w:r w:rsidRPr="006D35B7">
        <w:rPr>
          <w:rFonts w:ascii="Times New Roman" w:hAnsi="Times New Roman"/>
          <w:snapToGrid w:val="0"/>
          <w:sz w:val="20"/>
          <w:szCs w:val="20"/>
        </w:rPr>
        <w:t>расхода электрической энергии.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Заземляющие устройства тяговых подстанций переменного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Заземляющие устройства тяговых подстанций постоянного тока.</w:t>
      </w:r>
    </w:p>
    <w:p w:rsidR="00D0757F" w:rsidRPr="006D35B7" w:rsidRDefault="00D0757F" w:rsidP="006D35B7">
      <w:pPr>
        <w:pStyle w:val="a3"/>
        <w:numPr>
          <w:ilvl w:val="0"/>
          <w:numId w:val="7"/>
        </w:numPr>
        <w:ind w:right="-96"/>
        <w:rPr>
          <w:rFonts w:ascii="Times New Roman" w:hAnsi="Times New Roman"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 xml:space="preserve">Заземление комплектных трансформаторных подстанций, питаемых от ДПР и ВЛ 6(10) </w:t>
      </w:r>
      <w:proofErr w:type="spellStart"/>
      <w:r w:rsidRPr="006D35B7">
        <w:rPr>
          <w:rFonts w:ascii="Times New Roman" w:hAnsi="Times New Roman"/>
          <w:snapToGrid w:val="0"/>
          <w:sz w:val="20"/>
          <w:szCs w:val="20"/>
        </w:rPr>
        <w:t>кВ.</w:t>
      </w:r>
      <w:proofErr w:type="spellEnd"/>
    </w:p>
    <w:p w:rsidR="00D0757F" w:rsidRPr="006D35B7" w:rsidRDefault="00D0757F" w:rsidP="006D35B7">
      <w:pPr>
        <w:pStyle w:val="a3"/>
        <w:numPr>
          <w:ilvl w:val="0"/>
          <w:numId w:val="7"/>
        </w:numPr>
        <w:ind w:right="88"/>
        <w:jc w:val="both"/>
        <w:rPr>
          <w:rFonts w:ascii="Times New Roman" w:hAnsi="Times New Roman"/>
          <w:bCs/>
          <w:snapToGrid w:val="0"/>
          <w:sz w:val="20"/>
          <w:szCs w:val="20"/>
        </w:rPr>
      </w:pPr>
      <w:r w:rsidRPr="006D35B7">
        <w:rPr>
          <w:rFonts w:ascii="Times New Roman" w:hAnsi="Times New Roman"/>
          <w:snapToGrid w:val="0"/>
          <w:sz w:val="20"/>
          <w:szCs w:val="20"/>
        </w:rPr>
        <w:t>Защита от коммутационных и атмосферных перенапряжений на тяговых и трансформаторных подстанциях.</w:t>
      </w:r>
    </w:p>
    <w:p w:rsidR="00D0757F" w:rsidRPr="00782026" w:rsidRDefault="00D0757F" w:rsidP="00D0757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F5123" w:rsidRDefault="000F5123"/>
    <w:sectPr w:rsidR="000F5123" w:rsidSect="006A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4C12"/>
    <w:multiLevelType w:val="hybridMultilevel"/>
    <w:tmpl w:val="24B0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4405"/>
    <w:multiLevelType w:val="hybridMultilevel"/>
    <w:tmpl w:val="6C62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46FE"/>
    <w:multiLevelType w:val="hybridMultilevel"/>
    <w:tmpl w:val="1F90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5290"/>
    <w:multiLevelType w:val="hybridMultilevel"/>
    <w:tmpl w:val="B88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28E2"/>
    <w:multiLevelType w:val="hybridMultilevel"/>
    <w:tmpl w:val="323A4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D5050"/>
    <w:multiLevelType w:val="hybridMultilevel"/>
    <w:tmpl w:val="7756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04491"/>
    <w:multiLevelType w:val="hybridMultilevel"/>
    <w:tmpl w:val="3DF2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F"/>
    <w:rsid w:val="000F5123"/>
    <w:rsid w:val="00133125"/>
    <w:rsid w:val="0013345D"/>
    <w:rsid w:val="002258DB"/>
    <w:rsid w:val="0032464F"/>
    <w:rsid w:val="00531EE9"/>
    <w:rsid w:val="005D7DF8"/>
    <w:rsid w:val="006D35B7"/>
    <w:rsid w:val="006E0C0F"/>
    <w:rsid w:val="008266B5"/>
    <w:rsid w:val="00882DF6"/>
    <w:rsid w:val="00902509"/>
    <w:rsid w:val="0094458E"/>
    <w:rsid w:val="00A137E8"/>
    <w:rsid w:val="00A77DDE"/>
    <w:rsid w:val="00C91555"/>
    <w:rsid w:val="00D0757F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37A6F-357E-49BD-89D3-1178B100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7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757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2021-05-28T09:36:00Z</dcterms:created>
  <dcterms:modified xsi:type="dcterms:W3CDTF">2025-11-14T09:09:00Z</dcterms:modified>
</cp:coreProperties>
</file>