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AD" w:rsidRPr="004B2EAD" w:rsidRDefault="004B2EAD" w:rsidP="004B2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2E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4B2EAD" w:rsidRPr="004B2EAD" w:rsidRDefault="004B2EAD" w:rsidP="004B2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2E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промежуточной аттестации по дисциплине (модулю)</w:t>
      </w:r>
    </w:p>
    <w:p w:rsidR="004B2EAD" w:rsidRPr="004B2EAD" w:rsidRDefault="004B2EAD" w:rsidP="004B2EAD">
      <w:pPr>
        <w:pStyle w:val="10"/>
        <w:spacing w:line="276" w:lineRule="auto"/>
        <w:jc w:val="center"/>
        <w:rPr>
          <w:b/>
          <w:caps w:val="0"/>
          <w:noProof/>
          <w:lang w:val="ru-RU"/>
        </w:rPr>
      </w:pPr>
    </w:p>
    <w:p w:rsidR="004B2EAD" w:rsidRDefault="004B2EAD" w:rsidP="004B2EAD">
      <w:pPr>
        <w:pStyle w:val="10"/>
        <w:spacing w:line="276" w:lineRule="auto"/>
        <w:jc w:val="center"/>
        <w:rPr>
          <w:b/>
          <w:noProof/>
          <w:lang w:val="ru-RU"/>
        </w:rPr>
      </w:pPr>
      <w:r>
        <w:rPr>
          <w:b/>
          <w:caps w:val="0"/>
          <w:noProof/>
          <w:lang w:val="ru-RU"/>
        </w:rPr>
        <w:t>Эффективность использования топливно-энергетических ресурсов в промышленности и на транспорте</w:t>
      </w:r>
    </w:p>
    <w:p w:rsidR="004B2EAD" w:rsidRDefault="004B2EAD" w:rsidP="004B2EAD">
      <w:pPr>
        <w:spacing w:after="0"/>
        <w:rPr>
          <w:rFonts w:ascii="Times New Roman" w:hAnsi="Times New Roman" w:cs="Times New Roman"/>
          <w:noProof/>
        </w:rPr>
      </w:pPr>
    </w:p>
    <w:p w:rsidR="004B2EAD" w:rsidRDefault="004B2EAD" w:rsidP="004B2EAD">
      <w:pPr>
        <w:spacing w:after="0"/>
        <w:rPr>
          <w:rFonts w:ascii="Times New Roman" w:hAnsi="Times New Roman" w:cs="Times New Roman"/>
          <w:noProof/>
        </w:rPr>
      </w:pPr>
    </w:p>
    <w:tbl>
      <w:tblPr>
        <w:tblStyle w:val="a3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1"/>
        <w:gridCol w:w="5800"/>
      </w:tblGrid>
      <w:tr w:rsidR="004B2EAD" w:rsidTr="004B2EAD">
        <w:trPr>
          <w:jc w:val="center"/>
        </w:trPr>
        <w:tc>
          <w:tcPr>
            <w:tcW w:w="1970" w:type="pct"/>
            <w:hideMark/>
          </w:tcPr>
          <w:p w:rsidR="004B2EAD" w:rsidRDefault="004B2EAD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Направление подготовки:</w:t>
            </w:r>
          </w:p>
        </w:tc>
        <w:tc>
          <w:tcPr>
            <w:tcW w:w="3030" w:type="pct"/>
            <w:hideMark/>
          </w:tcPr>
          <w:p w:rsidR="004B2EAD" w:rsidRDefault="004B2EAD">
            <w:pPr>
              <w:pStyle w:val="10"/>
              <w:spacing w:line="276" w:lineRule="auto"/>
              <w:jc w:val="both"/>
              <w:rPr>
                <w:noProof/>
                <w:lang w:val="ru-RU"/>
              </w:rPr>
            </w:pPr>
            <w:r>
              <w:rPr>
                <w:caps w:val="0"/>
                <w:noProof/>
                <w:lang w:val="ru-RU"/>
              </w:rPr>
              <w:t>13.04.01 Теплоэнергетика и теплотехника</w:t>
            </w:r>
          </w:p>
        </w:tc>
      </w:tr>
      <w:tr w:rsidR="004B2EAD" w:rsidTr="004B2EAD">
        <w:trPr>
          <w:jc w:val="center"/>
        </w:trPr>
        <w:tc>
          <w:tcPr>
            <w:tcW w:w="1970" w:type="pct"/>
          </w:tcPr>
          <w:p w:rsidR="004B2EAD" w:rsidRDefault="004B2EAD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B2EAD" w:rsidRDefault="004B2EAD">
            <w:pPr>
              <w:spacing w:line="276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Направленность (профиль):</w:t>
            </w:r>
          </w:p>
        </w:tc>
        <w:tc>
          <w:tcPr>
            <w:tcW w:w="3030" w:type="pct"/>
          </w:tcPr>
          <w:p w:rsidR="004B2EAD" w:rsidRDefault="004B2EAD">
            <w:pPr>
              <w:pStyle w:val="10"/>
              <w:spacing w:line="276" w:lineRule="auto"/>
              <w:jc w:val="both"/>
              <w:rPr>
                <w:caps w:val="0"/>
                <w:noProof/>
                <w:lang w:val="ru-RU"/>
              </w:rPr>
            </w:pPr>
          </w:p>
          <w:p w:rsidR="004B2EAD" w:rsidRDefault="004B2EAD">
            <w:pPr>
              <w:pStyle w:val="10"/>
              <w:spacing w:line="276" w:lineRule="auto"/>
              <w:jc w:val="both"/>
              <w:rPr>
                <w:noProof/>
                <w:lang w:val="ru-RU"/>
              </w:rPr>
            </w:pPr>
            <w:r>
              <w:rPr>
                <w:caps w:val="0"/>
                <w:noProof/>
                <w:lang w:val="ru-RU"/>
              </w:rPr>
              <w:t>Энергосберегающие процессы и технологии</w:t>
            </w:r>
          </w:p>
        </w:tc>
      </w:tr>
    </w:tbl>
    <w:p w:rsidR="004B2EAD" w:rsidRDefault="004B2EAD" w:rsidP="004B2EAD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val="en-US" w:eastAsia="ru-RU"/>
        </w:rPr>
      </w:pPr>
    </w:p>
    <w:p w:rsidR="004B2EAD" w:rsidRPr="004B2EAD" w:rsidRDefault="004B2EAD" w:rsidP="004B2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4B2E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тестовые  задания из нижеприведенного  списка.</w:t>
      </w:r>
    </w:p>
    <w:p w:rsidR="004B2EAD" w:rsidRPr="004B2EAD" w:rsidRDefault="004B2EAD" w:rsidP="004B2E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EAD" w:rsidRPr="004B2EAD" w:rsidRDefault="004B2EAD" w:rsidP="004B2EAD">
      <w:pPr>
        <w:jc w:val="center"/>
        <w:rPr>
          <w:rFonts w:ascii="Times New Roman" w:hAnsi="Times New Roman" w:cs="Times New Roman"/>
          <w:b/>
          <w:u w:val="single"/>
          <w:lang w:val="en-US"/>
        </w:rPr>
      </w:pPr>
      <w:r w:rsidRPr="00C810EA">
        <w:rPr>
          <w:rFonts w:ascii="Times New Roman" w:hAnsi="Times New Roman" w:cs="Times New Roman"/>
          <w:b/>
          <w:u w:val="single"/>
        </w:rPr>
        <w:t>ПРИМЕРНЫЙ ПЕРЕЧЕНЬ ТЕСТОВЫХ ЗАДАНИЙ</w:t>
      </w:r>
    </w:p>
    <w:p w:rsidR="00EB06EF" w:rsidRDefault="00EB06EF" w:rsidP="00EB06EF">
      <w:pPr>
        <w:jc w:val="center"/>
      </w:pPr>
      <w:r>
        <w:t>Примерные тестовые задания</w:t>
      </w:r>
    </w:p>
    <w:p w:rsidR="00EB06EF" w:rsidRDefault="00EB06EF" w:rsidP="00EB06EF">
      <w:r>
        <w:t>1. Организация осуществляет торговую деятельность. Должна ли она разрабатывать нормы расхода ТЭР?</w:t>
      </w:r>
    </w:p>
    <w:p w:rsidR="00EB06EF" w:rsidRDefault="00EB06EF" w:rsidP="00EB06EF">
      <w:r>
        <w:t>•</w:t>
      </w:r>
      <w:r>
        <w:tab/>
        <w:t xml:space="preserve"> Нет. Нормы расхода ТЭР должны разрабатывать только организации, осуществляющие производственную деятельность.</w:t>
      </w:r>
    </w:p>
    <w:p w:rsidR="00EB06EF" w:rsidRDefault="00EB06EF" w:rsidP="00EB06EF">
      <w:r>
        <w:t>•</w:t>
      </w:r>
      <w:r>
        <w:tab/>
        <w:t xml:space="preserve"> Да, при определенных условиях.</w:t>
      </w:r>
    </w:p>
    <w:p w:rsidR="00EB06EF" w:rsidRDefault="00EB06EF" w:rsidP="00EB06EF">
      <w:r>
        <w:t xml:space="preserve">Нормы расхода ТЭР устанавливаются для организаций с годовым потреблением 100 тонн условного топлива (далее — </w:t>
      </w:r>
      <w:proofErr w:type="spellStart"/>
      <w:r>
        <w:t>т.у.т</w:t>
      </w:r>
      <w:proofErr w:type="spellEnd"/>
      <w:r>
        <w:t>.) и более и (или) организаций, имеющих источники тепловой энергии производительностью 0,5 Гкал/</w:t>
      </w:r>
      <w:proofErr w:type="gramStart"/>
      <w:r>
        <w:t>ч</w:t>
      </w:r>
      <w:proofErr w:type="gramEnd"/>
      <w:r>
        <w:t xml:space="preserve"> и более. Если у организации нет разработанных и утвержденных в установленном порядке норм расхода ТЭР и при этом суммарное годовое потребление превысит 100 </w:t>
      </w:r>
      <w:proofErr w:type="spellStart"/>
      <w:r>
        <w:t>т.у.т</w:t>
      </w:r>
      <w:proofErr w:type="spellEnd"/>
      <w:r>
        <w:t>., то в этом случае весь фактический расход ТЭР будет являться сверхнормативным и не должен учитываться при исчислении налога на прибыл</w:t>
      </w:r>
      <w:proofErr w:type="gramStart"/>
      <w:r>
        <w:t>ь(</w:t>
      </w:r>
      <w:proofErr w:type="gramEnd"/>
      <w:r>
        <w:t xml:space="preserve">ч. 1, 5 ст. 17 </w:t>
      </w:r>
      <w:proofErr w:type="gramStart"/>
      <w:r>
        <w:t>Закона Республики Беларусь от 08.01.2015 N 239-З «Об энергосбережении» (далее — Закон N 239-З), подп. 1.7 ст. 131 НК).</w:t>
      </w:r>
      <w:proofErr w:type="gramEnd"/>
    </w:p>
    <w:p w:rsidR="00EB06EF" w:rsidRDefault="00EB06EF" w:rsidP="00EB06EF">
      <w:r>
        <w:t>2. Организация арендует производственное помещение. Расходы на коммунальные услуги (электр</w:t>
      </w:r>
      <w:proofErr w:type="gramStart"/>
      <w:r>
        <w:t>о-</w:t>
      </w:r>
      <w:proofErr w:type="gramEnd"/>
      <w:r>
        <w:t xml:space="preserve"> и </w:t>
      </w:r>
      <w:proofErr w:type="spellStart"/>
      <w:r>
        <w:t>теплоэнергию</w:t>
      </w:r>
      <w:proofErr w:type="spellEnd"/>
      <w:r>
        <w:t>) она возмещает арендодателю сверх уплаты арендной платы. Кто должен разработать предельный уровень потребления ТЭР: арендатор или арендодатель?</w:t>
      </w:r>
    </w:p>
    <w:p w:rsidR="00EB06EF" w:rsidRDefault="00EB06EF" w:rsidP="00EB06EF">
      <w:r>
        <w:t>•</w:t>
      </w:r>
      <w:r>
        <w:tab/>
        <w:t xml:space="preserve"> Арендодатель.</w:t>
      </w:r>
    </w:p>
    <w:p w:rsidR="00EB06EF" w:rsidRDefault="00EB06EF" w:rsidP="00EB06EF">
      <w:r>
        <w:t>•</w:t>
      </w:r>
      <w:r>
        <w:tab/>
        <w:t xml:space="preserve"> Арендатор.</w:t>
      </w:r>
    </w:p>
    <w:p w:rsidR="00EB06EF" w:rsidRDefault="00EB06EF" w:rsidP="00EB06EF">
      <w:r>
        <w:t>Организации, арендующие помещения, должны самостоятельно разработать и утвердить в установленном порядке нормы расхода ТЭР без участия арендодателей (ч. 5 ст. 17 Закона N 239-З, п. 18 Положения о порядке разработки, установления и пересмотра норм расхода топливно-</w:t>
      </w:r>
      <w:r>
        <w:lastRenderedPageBreak/>
        <w:t>энергетических ресурсов, утв. постановлением Совмина от 18.03.2016 N 216 (далее — Положение N 216)).</w:t>
      </w:r>
    </w:p>
    <w:p w:rsidR="00EB06EF" w:rsidRDefault="00EB06EF" w:rsidP="00EB06EF"/>
    <w:p w:rsidR="00EB06EF" w:rsidRDefault="00EB06EF" w:rsidP="00EB06EF">
      <w:r>
        <w:t xml:space="preserve">3. Организация имеет в собственности помещение. </w:t>
      </w:r>
      <w:proofErr w:type="spellStart"/>
      <w:r>
        <w:t>Энергосбыт</w:t>
      </w:r>
      <w:proofErr w:type="spellEnd"/>
      <w:r>
        <w:t xml:space="preserve"> выставляет счет за потребленную энергию в натуральных единицах (1 </w:t>
      </w:r>
      <w:proofErr w:type="gramStart"/>
      <w:r>
        <w:t>млн</w:t>
      </w:r>
      <w:proofErr w:type="gramEnd"/>
      <w:r>
        <w:t xml:space="preserve"> </w:t>
      </w:r>
      <w:proofErr w:type="spellStart"/>
      <w:r>
        <w:t>кВт•ч</w:t>
      </w:r>
      <w:proofErr w:type="spellEnd"/>
      <w:r>
        <w:t>, тыс. Гкал). Нормы расхода ТЭР установлены в условных единицах (</w:t>
      </w:r>
      <w:proofErr w:type="spellStart"/>
      <w:r>
        <w:t>т.у.</w:t>
      </w:r>
      <w:proofErr w:type="gramStart"/>
      <w:r>
        <w:t>т</w:t>
      </w:r>
      <w:proofErr w:type="spellEnd"/>
      <w:proofErr w:type="gramEnd"/>
      <w:r>
        <w:t>.). Может ли организация самостоятельно перевести ТЭР из натуральных единиц измерения в условные, чтобы контролировать сверхнормативный расход ТЭР в целях налогообложения?</w:t>
      </w:r>
    </w:p>
    <w:p w:rsidR="00EB06EF" w:rsidRDefault="00EB06EF" w:rsidP="00EB06EF">
      <w:r>
        <w:t>•</w:t>
      </w:r>
      <w:r>
        <w:tab/>
        <w:t xml:space="preserve"> Да, может.</w:t>
      </w:r>
    </w:p>
    <w:p w:rsidR="00EB06EF" w:rsidRDefault="00EB06EF" w:rsidP="00EB06EF">
      <w:r>
        <w:t>•</w:t>
      </w:r>
      <w:r>
        <w:tab/>
        <w:t xml:space="preserve"> Нет.</w:t>
      </w:r>
    </w:p>
    <w:p w:rsidR="00EB06EF" w:rsidRDefault="00EB06EF" w:rsidP="00EB06EF">
      <w:r>
        <w:t>При пересчете электр</w:t>
      </w:r>
      <w:proofErr w:type="gramStart"/>
      <w:r>
        <w:t>о-</w:t>
      </w:r>
      <w:proofErr w:type="gramEnd"/>
      <w:r>
        <w:t xml:space="preserve"> и </w:t>
      </w:r>
      <w:proofErr w:type="spellStart"/>
      <w:r>
        <w:t>теплоэнергии</w:t>
      </w:r>
      <w:proofErr w:type="spellEnd"/>
      <w:r>
        <w:t xml:space="preserve"> из натуральных единиц измерения в условные используются коэффициенты пересчета единиц измерения энергии в соответствии с Международной системой единиц (СИ) согласно приложению 9 к Методике по формированию топливно-энергетического баланса и расчету на его основе макроэкономических статистических показателей, характеризующих уровень потребления топливно-энергетических ресурсов, утв. постановлением </w:t>
      </w:r>
      <w:proofErr w:type="spellStart"/>
      <w:r>
        <w:t>Белстата</w:t>
      </w:r>
      <w:proofErr w:type="spellEnd"/>
      <w:r>
        <w:t xml:space="preserve"> от 28.12.2015 N 214 (далее — Методика N 214) (ч. 3 п. </w:t>
      </w:r>
      <w:proofErr w:type="gramStart"/>
      <w:r>
        <w:t>24 Методики N 214).</w:t>
      </w:r>
      <w:proofErr w:type="gramEnd"/>
    </w:p>
    <w:p w:rsidR="00EB06EF" w:rsidRDefault="00EB06EF" w:rsidP="00EB06EF">
      <w:r>
        <w:t xml:space="preserve"> </w:t>
      </w:r>
    </w:p>
    <w:p w:rsidR="00EB06EF" w:rsidRDefault="00EB06EF" w:rsidP="00EB06EF">
      <w:r>
        <w:t>4.Организация утвердила нормы расхода ТЭР на 2017 год. В I квартале фактическое потребление ТЭР было меньше по сравнению с утвержденной нормой, а во II превысило утвержденную норму. Можно ли учесть при налогообложении прибыли стоимость ТЭР, потребленных сверх норм во II квартале, в счет их экономии в I квартале?</w:t>
      </w:r>
    </w:p>
    <w:p w:rsidR="00EB06EF" w:rsidRDefault="00EB06EF" w:rsidP="00EB06EF">
      <w:r>
        <w:t>•</w:t>
      </w:r>
      <w:r>
        <w:tab/>
        <w:t xml:space="preserve"> Нельзя.</w:t>
      </w:r>
    </w:p>
    <w:p w:rsidR="00EB06EF" w:rsidRDefault="00EB06EF" w:rsidP="00EB06EF">
      <w:r>
        <w:t>•</w:t>
      </w:r>
      <w:r>
        <w:tab/>
        <w:t xml:space="preserve"> Можно.</w:t>
      </w:r>
    </w:p>
    <w:p w:rsidR="00EB06EF" w:rsidRDefault="00EB06EF" w:rsidP="00EB06EF">
      <w:r>
        <w:t xml:space="preserve">Организациям с годовым потреблением ТЭР до 1500 </w:t>
      </w:r>
      <w:proofErr w:type="spellStart"/>
      <w:r>
        <w:t>т.у.т</w:t>
      </w:r>
      <w:proofErr w:type="spellEnd"/>
      <w:r>
        <w:t>. устанавливаются текущие нормы расхода ТЭР на период до одного календарного года с поквартальной разбивкой. Отчетным периодом для налога на прибыль признается календарный квартал. Следовательно, при определении облагаемой налогом прибыли превышение расхода ТЭР необходимо определять за каждый квартал (ч. 1 и 2 п. 7 Положения N 216, приложение 2 к Положению N 216, ч. 1 п. 2 ст. 143 НК).</w:t>
      </w:r>
    </w:p>
    <w:p w:rsidR="00EB06EF" w:rsidRDefault="00EB06EF" w:rsidP="00EB06EF"/>
    <w:p w:rsidR="00EB06EF" w:rsidRDefault="00EB06EF" w:rsidP="00EB06EF">
      <w:r>
        <w:t xml:space="preserve">5. Организация не утверждала нормы расходов ТЭР, прогнозируя, что эти расходы за год не превысят 100 </w:t>
      </w:r>
      <w:proofErr w:type="spellStart"/>
      <w:r>
        <w:t>т.у.т</w:t>
      </w:r>
      <w:proofErr w:type="spellEnd"/>
      <w:r>
        <w:t xml:space="preserve">. Фактически за год указанные расходы составили 110 </w:t>
      </w:r>
      <w:proofErr w:type="spellStart"/>
      <w:r>
        <w:t>т.у.т</w:t>
      </w:r>
      <w:proofErr w:type="spellEnd"/>
      <w:r>
        <w:t xml:space="preserve">. При налогообложении прибыли не учитывается стоимость только 10 </w:t>
      </w:r>
      <w:proofErr w:type="spellStart"/>
      <w:r>
        <w:t>т.у.т</w:t>
      </w:r>
      <w:proofErr w:type="spellEnd"/>
      <w:r>
        <w:t xml:space="preserve">. или всех 110 </w:t>
      </w:r>
      <w:proofErr w:type="spellStart"/>
      <w:r>
        <w:t>т.у.</w:t>
      </w:r>
      <w:proofErr w:type="gramStart"/>
      <w:r>
        <w:t>т</w:t>
      </w:r>
      <w:proofErr w:type="spellEnd"/>
      <w:proofErr w:type="gramEnd"/>
      <w:r>
        <w:t>.?</w:t>
      </w:r>
    </w:p>
    <w:p w:rsidR="00EB06EF" w:rsidRDefault="00EB06EF" w:rsidP="00EB06EF">
      <w:r>
        <w:t>•</w:t>
      </w:r>
      <w:r>
        <w:tab/>
        <w:t xml:space="preserve"> 110 тонн.</w:t>
      </w:r>
    </w:p>
    <w:p w:rsidR="00EB06EF" w:rsidRDefault="00EB06EF" w:rsidP="00EB06EF">
      <w:r>
        <w:t>•</w:t>
      </w:r>
      <w:r>
        <w:tab/>
        <w:t xml:space="preserve"> 10 тонн.</w:t>
      </w:r>
    </w:p>
    <w:p w:rsidR="00EB06EF" w:rsidRDefault="00EB06EF" w:rsidP="00EB06EF">
      <w:r>
        <w:lastRenderedPageBreak/>
        <w:t xml:space="preserve">Нормы должны разрабатывать организации, которыми предполагается суммарное потребление ТЭР 100 </w:t>
      </w:r>
      <w:proofErr w:type="spellStart"/>
      <w:r>
        <w:t>т.у.т</w:t>
      </w:r>
      <w:proofErr w:type="spellEnd"/>
      <w:r>
        <w:t>. в год и более и (или) имеющие источники тепловой энергии производительностью 0,5 Гкал/</w:t>
      </w:r>
      <w:proofErr w:type="gramStart"/>
      <w:r>
        <w:t>ч</w:t>
      </w:r>
      <w:proofErr w:type="gramEnd"/>
      <w:r>
        <w:t xml:space="preserve"> и более. Поскольку в данном случае суммарное годовое потребление ТЭР у организации превысило 100 </w:t>
      </w:r>
      <w:proofErr w:type="spellStart"/>
      <w:r>
        <w:t>т.у.т</w:t>
      </w:r>
      <w:proofErr w:type="spellEnd"/>
      <w:r>
        <w:t>. и у нее нет разработанных и утвержденных норм расхода ТЭР, то весь объем потребленных ТЭР будет являться сверхнормативным (ч. 1 ст. 17 Закона N 239-З, п. 3 Положения N 216).</w:t>
      </w:r>
    </w:p>
    <w:p w:rsidR="00EB06EF" w:rsidRDefault="00EB06EF" w:rsidP="00EB06EF">
      <w:r>
        <w:t>6. У организации есть котел производительностью более 0,5 Гкал/</w:t>
      </w:r>
      <w:proofErr w:type="gramStart"/>
      <w:r>
        <w:t>ч</w:t>
      </w:r>
      <w:proofErr w:type="gramEnd"/>
      <w:r>
        <w:t xml:space="preserve">, который находится в производственном помещении. На него имеются утвержденные в установленном порядке нормы по расходу тепловой энергии. Должна ли организация утверждать нормы расхода электрической и тепловой энергии, потребляемой в офисном помещении, если годовое потребление ТЭР организацией составляет менее 100 </w:t>
      </w:r>
      <w:proofErr w:type="spellStart"/>
      <w:r>
        <w:t>т.у.</w:t>
      </w:r>
      <w:proofErr w:type="gramStart"/>
      <w:r>
        <w:t>т</w:t>
      </w:r>
      <w:proofErr w:type="spellEnd"/>
      <w:proofErr w:type="gramEnd"/>
      <w:r>
        <w:t>.?</w:t>
      </w:r>
    </w:p>
    <w:p w:rsidR="00EB06EF" w:rsidRDefault="00EB06EF" w:rsidP="00EB06EF">
      <w:r>
        <w:t>•</w:t>
      </w:r>
      <w:r>
        <w:tab/>
        <w:t xml:space="preserve"> Должна.</w:t>
      </w:r>
    </w:p>
    <w:p w:rsidR="00EB06EF" w:rsidRDefault="00EB06EF" w:rsidP="00EB06EF">
      <w:r>
        <w:t>•</w:t>
      </w:r>
      <w:r>
        <w:tab/>
        <w:t xml:space="preserve"> Не должна.</w:t>
      </w:r>
    </w:p>
    <w:p w:rsidR="00EB06EF" w:rsidRDefault="00EB06EF" w:rsidP="00EB06EF">
      <w:r>
        <w:t>если годовое потребление ТЭР организацией, у которой есть источники тепловой энергии производительностью 0,5 Гкал/</w:t>
      </w:r>
      <w:proofErr w:type="gramStart"/>
      <w:r>
        <w:t>ч</w:t>
      </w:r>
      <w:proofErr w:type="gramEnd"/>
      <w:r>
        <w:t xml:space="preserve"> и более, составляет менее 100 </w:t>
      </w:r>
      <w:proofErr w:type="spellStart"/>
      <w:r>
        <w:t>т.у.т</w:t>
      </w:r>
      <w:proofErr w:type="spellEnd"/>
      <w:r>
        <w:t>., то нормированию расхода ТЭР подлежат только источники тепловой энергии производительностью 0,5 Гкал/ч в час и более (ч. 4 ст. 17 Закона от 08.01.2015 N 239-З).</w:t>
      </w:r>
    </w:p>
    <w:p w:rsidR="00EB06EF" w:rsidRDefault="00EB06EF" w:rsidP="00EB06EF">
      <w:r>
        <w:t xml:space="preserve">7. Негосударственная организация, не имеющая источников тепловой энергии, с годовым потреблением ТЭР более 100 </w:t>
      </w:r>
      <w:proofErr w:type="spellStart"/>
      <w:r>
        <w:t>т.у.т</w:t>
      </w:r>
      <w:proofErr w:type="spellEnd"/>
      <w:r>
        <w:t>. самостоятельно разработала нормы расхода ТЭР. Может ли в этом случае она учесть при налогообложении прибыли стоимость ТЭР, израсходованных в пределах норм, установленных организацией самостоятельно?</w:t>
      </w:r>
    </w:p>
    <w:p w:rsidR="00EB06EF" w:rsidRDefault="00EB06EF" w:rsidP="00EB06EF">
      <w:r>
        <w:t xml:space="preserve">     Не может.</w:t>
      </w:r>
    </w:p>
    <w:p w:rsidR="00EB06EF" w:rsidRDefault="00EB06EF" w:rsidP="00EB06EF">
      <w:r>
        <w:t>Правильно</w:t>
      </w:r>
    </w:p>
    <w:p w:rsidR="00EB06EF" w:rsidRDefault="00EB06EF" w:rsidP="00EB06EF">
      <w:r>
        <w:t xml:space="preserve">Для негосударственных организаций с годовым потреблением ТЭР от 100 до 1500 </w:t>
      </w:r>
      <w:proofErr w:type="spellStart"/>
      <w:r>
        <w:t>т.у.т</w:t>
      </w:r>
      <w:proofErr w:type="spellEnd"/>
      <w:r>
        <w:t>. нормы расхода ТЭР устанавливаются областными, Минским городским управлениями по надзору за рациональным использованием ТЭР Государственного комитета по стандартизации (</w:t>
      </w:r>
      <w:proofErr w:type="spellStart"/>
      <w:r>
        <w:t>абз</w:t>
      </w:r>
      <w:proofErr w:type="spellEnd"/>
      <w:r>
        <w:t>. 2 ч. 2 п. 20 Положения N 216).</w:t>
      </w:r>
    </w:p>
    <w:p w:rsidR="00EB06EF" w:rsidRDefault="00EB06EF" w:rsidP="00EB06EF">
      <w:r>
        <w:t xml:space="preserve">8. Организация разработала и утвердила нормы расхода ТЭР только на IV квартал 2017 года, которые составили 50 </w:t>
      </w:r>
      <w:proofErr w:type="spellStart"/>
      <w:r>
        <w:t>т.у.т</w:t>
      </w:r>
      <w:proofErr w:type="spellEnd"/>
      <w:r>
        <w:t xml:space="preserve">. Фактическое потребление ТЭР за 2017 год составило 125 </w:t>
      </w:r>
      <w:proofErr w:type="spellStart"/>
      <w:r>
        <w:t>т.у.т</w:t>
      </w:r>
      <w:proofErr w:type="spellEnd"/>
      <w:r>
        <w:t>., в том числе:</w:t>
      </w:r>
    </w:p>
    <w:p w:rsidR="00EB06EF" w:rsidRDefault="00EB06EF" w:rsidP="00EB06EF">
      <w:r>
        <w:t xml:space="preserve">— за I квартал 2017 года — 30 </w:t>
      </w:r>
      <w:proofErr w:type="spellStart"/>
      <w:r>
        <w:t>т.у.</w:t>
      </w:r>
      <w:proofErr w:type="gramStart"/>
      <w:r>
        <w:t>т</w:t>
      </w:r>
      <w:proofErr w:type="spellEnd"/>
      <w:proofErr w:type="gramEnd"/>
      <w:r>
        <w:t>.;</w:t>
      </w:r>
    </w:p>
    <w:p w:rsidR="00EB06EF" w:rsidRDefault="00EB06EF" w:rsidP="00EB06EF">
      <w:r>
        <w:t xml:space="preserve">— за II квартал 2017 года — 25 </w:t>
      </w:r>
      <w:proofErr w:type="spellStart"/>
      <w:r>
        <w:t>т.у.</w:t>
      </w:r>
      <w:proofErr w:type="gramStart"/>
      <w:r>
        <w:t>т</w:t>
      </w:r>
      <w:proofErr w:type="spellEnd"/>
      <w:proofErr w:type="gramEnd"/>
      <w:r>
        <w:t>.;</w:t>
      </w:r>
    </w:p>
    <w:p w:rsidR="00EB06EF" w:rsidRDefault="00EB06EF" w:rsidP="00EB06EF">
      <w:r>
        <w:t xml:space="preserve">— за III квартал 2017 года — 20 </w:t>
      </w:r>
      <w:proofErr w:type="spellStart"/>
      <w:r>
        <w:t>т.у.</w:t>
      </w:r>
      <w:proofErr w:type="gramStart"/>
      <w:r>
        <w:t>т</w:t>
      </w:r>
      <w:proofErr w:type="spellEnd"/>
      <w:proofErr w:type="gramEnd"/>
      <w:r>
        <w:t>.;</w:t>
      </w:r>
    </w:p>
    <w:p w:rsidR="00EB06EF" w:rsidRDefault="00EB06EF" w:rsidP="00EB06EF">
      <w:r>
        <w:t xml:space="preserve">— за IV квартал 2017 года — 50 </w:t>
      </w:r>
      <w:proofErr w:type="spellStart"/>
      <w:r>
        <w:t>т.у.</w:t>
      </w:r>
      <w:proofErr w:type="gramStart"/>
      <w:r>
        <w:t>т</w:t>
      </w:r>
      <w:proofErr w:type="spellEnd"/>
      <w:proofErr w:type="gramEnd"/>
      <w:r>
        <w:t>.</w:t>
      </w:r>
    </w:p>
    <w:p w:rsidR="00EB06EF" w:rsidRDefault="00EB06EF" w:rsidP="00EB06EF">
      <w:r>
        <w:t>Может ли организация списать на затраты, учитываемые при налогообложении прибыли, стоимость ТЭР, израсходованных в I — III кварталах?</w:t>
      </w:r>
    </w:p>
    <w:p w:rsidR="00EB06EF" w:rsidRDefault="00EB06EF" w:rsidP="00EB06EF">
      <w:r>
        <w:t>Не может. Поскольку в I - III кварталах у организации не было утвержденных норм расхода ТЭР.</w:t>
      </w:r>
    </w:p>
    <w:p w:rsidR="00EB06EF" w:rsidRDefault="00EB06EF" w:rsidP="00EB06EF">
      <w:r>
        <w:lastRenderedPageBreak/>
        <w:t>Неправильно</w:t>
      </w:r>
    </w:p>
    <w:p w:rsidR="00EB06EF" w:rsidRDefault="00EB06EF" w:rsidP="00EB06EF">
      <w:proofErr w:type="gramStart"/>
      <w:r>
        <w:t xml:space="preserve">Организация вправе включить стоимость объема потребленных ТЭР в I — III кварталах в состав затрат, учитываемых при определении облагаемой налогом прибыли, поскольку в этом периоде годовое суммарное потребление ТЭР не превысило 100 </w:t>
      </w:r>
      <w:proofErr w:type="spellStart"/>
      <w:r>
        <w:t>т.у.т</w:t>
      </w:r>
      <w:proofErr w:type="spellEnd"/>
      <w:r>
        <w:t>. (п. 1 ст. 130, подп. 1.7 ст. 131 НК, ч. 1, 5 ст. 17 Закона N 239-З).</w:t>
      </w:r>
      <w:proofErr w:type="gramEnd"/>
    </w:p>
    <w:p w:rsidR="00EB06EF" w:rsidRDefault="00EB06EF" w:rsidP="00EB06EF">
      <w:r>
        <w:t xml:space="preserve">9. У организации в процессе деятельности произошло сверхнормативное потребление ТЭР. </w:t>
      </w:r>
      <w:proofErr w:type="gramStart"/>
      <w:r>
        <w:t>Стоимость ТЭР, израсходованных сверх норм, не учитывается при налогообложении прибыли.</w:t>
      </w:r>
      <w:proofErr w:type="gramEnd"/>
      <w:r>
        <w:t xml:space="preserve"> Как отразить в бухучете такое сверхнормативное потребление?</w:t>
      </w:r>
    </w:p>
    <w:p w:rsidR="00EB06EF" w:rsidRDefault="00EB06EF" w:rsidP="00EB06EF">
      <w:r>
        <w:t>•</w:t>
      </w:r>
      <w:r>
        <w:tab/>
        <w:t xml:space="preserve"> На счете 90-10.</w:t>
      </w:r>
    </w:p>
    <w:p w:rsidR="00EB06EF" w:rsidRDefault="00EB06EF" w:rsidP="00EB06EF">
      <w:r>
        <w:t>•</w:t>
      </w:r>
      <w:r>
        <w:tab/>
        <w:t xml:space="preserve"> На счетах затрат (счета 20, 23, 25, 26, 29, 44).</w:t>
      </w:r>
    </w:p>
    <w:p w:rsidR="00EB06EF" w:rsidRDefault="00EB06EF" w:rsidP="00EB06EF">
      <w:r>
        <w:t>Неправильно</w:t>
      </w:r>
    </w:p>
    <w:p w:rsidR="00D87B94" w:rsidRDefault="00EB06EF" w:rsidP="00EB06EF">
      <w:r>
        <w:t>На счетах учета затрат отражается стоимость потребленных в производственных целях ТЭР и включается в себестоимость продукции (работ, услуг), в состав управленческих затрат либо в состав расходов на реализацию независимо от того, будут ли ТЭР потреблены в пределах установленных норм расхода, или потребление ТЭР будет являться сверхнормативным. В налоговом учете следует отразить расчетную корректировку к данным бухгалтерского учета (п. 8 — 12 Инструкции по бухгалтерскому учету доходов и расходов, утвержденной постановлением Минфина от 30.09.2011 N 102, п. 2 ст. 130 НК).</w:t>
      </w:r>
    </w:p>
    <w:sectPr w:rsidR="00D87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0F2"/>
    <w:rsid w:val="004A44B8"/>
    <w:rsid w:val="004B2EAD"/>
    <w:rsid w:val="009632BA"/>
    <w:rsid w:val="00AB3BF9"/>
    <w:rsid w:val="00CA00F2"/>
    <w:rsid w:val="00EB06EF"/>
    <w:rsid w:val="00E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4B2EAD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4B2EAD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3">
    <w:name w:val="Table Grid"/>
    <w:basedOn w:val="a1"/>
    <w:uiPriority w:val="39"/>
    <w:rsid w:val="004B2EA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4B2EAD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4B2EAD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3">
    <w:name w:val="Table Grid"/>
    <w:basedOn w:val="a1"/>
    <w:uiPriority w:val="39"/>
    <w:rsid w:val="004B2EA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4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Лариса Анатольевна</dc:creator>
  <cp:lastModifiedBy>sony</cp:lastModifiedBy>
  <cp:revision>2</cp:revision>
  <dcterms:created xsi:type="dcterms:W3CDTF">2022-02-09T10:42:00Z</dcterms:created>
  <dcterms:modified xsi:type="dcterms:W3CDTF">2022-02-09T10:42:00Z</dcterms:modified>
</cp:coreProperties>
</file>