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320" w:rsidRPr="008F1B5A" w:rsidRDefault="005D7320" w:rsidP="005D7320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о</w:t>
      </w:r>
      <w:r w:rsidRPr="008F1B5A">
        <w:rPr>
          <w:b/>
          <w:sz w:val="28"/>
          <w:szCs w:val="28"/>
        </w:rPr>
        <w:t>ценочные материалы, применяемые при проведении</w:t>
      </w:r>
    </w:p>
    <w:p w:rsidR="005D7320" w:rsidRDefault="005D7320" w:rsidP="005D7320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8F1B5A">
        <w:rPr>
          <w:b/>
          <w:sz w:val="28"/>
          <w:szCs w:val="28"/>
        </w:rPr>
        <w:t xml:space="preserve">промежуточной аттестации по дисциплине (модулю) </w:t>
      </w:r>
    </w:p>
    <w:p w:rsidR="005D7320" w:rsidRDefault="005D7320" w:rsidP="005D7320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</w:p>
    <w:p w:rsidR="005D7320" w:rsidRPr="00CE4700" w:rsidRDefault="005D7320" w:rsidP="005D7320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CE4700">
        <w:rPr>
          <w:b/>
          <w:sz w:val="28"/>
          <w:szCs w:val="28"/>
        </w:rPr>
        <w:t>«</w:t>
      </w:r>
      <w:r>
        <w:rPr>
          <w:b/>
          <w:bCs/>
          <w:sz w:val="28"/>
          <w:szCs w:val="28"/>
        </w:rPr>
        <w:t>Аудит</w:t>
      </w:r>
      <w:r w:rsidRPr="00CE4700">
        <w:rPr>
          <w:b/>
          <w:sz w:val="28"/>
          <w:szCs w:val="28"/>
        </w:rPr>
        <w:t>»</w:t>
      </w:r>
    </w:p>
    <w:p w:rsidR="005D7320" w:rsidRDefault="005D7320" w:rsidP="005D7320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5D7320" w:rsidRDefault="005D7320" w:rsidP="005D7320">
      <w:pPr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При проведении промежуточной аттестации по защите курсовой работы обучающемуся предлагается решить </w:t>
      </w:r>
      <w:r w:rsidR="0074398D">
        <w:rPr>
          <w:sz w:val="28"/>
          <w:szCs w:val="28"/>
        </w:rPr>
        <w:t xml:space="preserve">2 </w:t>
      </w:r>
      <w:r>
        <w:rPr>
          <w:sz w:val="28"/>
          <w:szCs w:val="28"/>
        </w:rPr>
        <w:t>задани</w:t>
      </w:r>
      <w:r w:rsidR="0074398D">
        <w:rPr>
          <w:sz w:val="28"/>
          <w:szCs w:val="28"/>
        </w:rPr>
        <w:t>я</w:t>
      </w:r>
      <w:bookmarkStart w:id="0" w:name="_GoBack"/>
      <w:bookmarkEnd w:id="0"/>
      <w:r>
        <w:rPr>
          <w:sz w:val="28"/>
          <w:szCs w:val="28"/>
        </w:rPr>
        <w:t>, из нижеприведенного списка.</w:t>
      </w:r>
    </w:p>
    <w:p w:rsidR="005D7320" w:rsidRDefault="005D7320" w:rsidP="005D7320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5D7320" w:rsidRDefault="005D7320" w:rsidP="005D7320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r w:rsidRPr="00EC130E">
        <w:rPr>
          <w:sz w:val="28"/>
          <w:szCs w:val="28"/>
        </w:rPr>
        <w:t xml:space="preserve">Примерный перечень </w:t>
      </w:r>
      <w:r>
        <w:rPr>
          <w:sz w:val="28"/>
          <w:szCs w:val="28"/>
        </w:rPr>
        <w:t>заданий</w:t>
      </w:r>
    </w:p>
    <w:p w:rsidR="005D7320" w:rsidRDefault="005D7320" w:rsidP="00117460">
      <w:pPr>
        <w:jc w:val="both"/>
      </w:pPr>
    </w:p>
    <w:p w:rsidR="005D7320" w:rsidRDefault="00117460" w:rsidP="00117460">
      <w:pPr>
        <w:jc w:val="both"/>
      </w:pPr>
      <w:r>
        <w:t>1.</w:t>
      </w:r>
      <w:r w:rsidRPr="00FF6ECD">
        <w:t>Ответить и решить данные задачи. Ответ должен быть подтвержден ссылкой на соответствующий пункт и статью «Закона об аудиторской деятельности».</w:t>
      </w:r>
    </w:p>
    <w:p w:rsidR="00117460" w:rsidRPr="00FF6ECD" w:rsidRDefault="005D7320" w:rsidP="00117460">
      <w:pPr>
        <w:jc w:val="both"/>
      </w:pPr>
      <w:r>
        <w:t>2.</w:t>
      </w:r>
      <w:r w:rsidR="00117460" w:rsidRPr="00FF6ECD">
        <w:t>Имеет ли право аккредитованное профессиональное аудиторское объединение заниматься предпринимательской деятельностью?</w:t>
      </w:r>
    </w:p>
    <w:p w:rsidR="00117460" w:rsidRPr="00FF6ECD" w:rsidRDefault="005D7320" w:rsidP="00117460">
      <w:pPr>
        <w:jc w:val="both"/>
      </w:pPr>
      <w:r>
        <w:t>3.</w:t>
      </w:r>
      <w:r w:rsidR="00117460" w:rsidRPr="00FF6ECD">
        <w:t>Договором на проведение обязательной аудиторской проверки установлено, что денежное вознаграждение за эту проверку будет выплачено аудиторской организации после предоставления положительного аудиторского заключения. Оцените ситуацию.</w:t>
      </w:r>
    </w:p>
    <w:p w:rsidR="00117460" w:rsidRPr="00FF6ECD" w:rsidRDefault="005D7320" w:rsidP="00117460">
      <w:pPr>
        <w:jc w:val="both"/>
      </w:pPr>
      <w:r>
        <w:t>4.</w:t>
      </w:r>
      <w:r w:rsidR="00117460" w:rsidRPr="00FF6ECD">
        <w:t>Подлежит ли обязательной аудиторской проверке за 201</w:t>
      </w:r>
      <w:r>
        <w:t>9</w:t>
      </w:r>
      <w:r w:rsidR="00117460" w:rsidRPr="00FF6ECD">
        <w:t xml:space="preserve"> год ЗАО «АВВА», которое имеет следующий баланс на конец года?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5"/>
        <w:gridCol w:w="1431"/>
        <w:gridCol w:w="3371"/>
        <w:gridCol w:w="1424"/>
      </w:tblGrid>
      <w:tr w:rsidR="00117460" w:rsidRPr="00FF6ECD" w:rsidTr="001A3B89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60" w:rsidRPr="00FF6ECD" w:rsidRDefault="00117460" w:rsidP="001A3B89">
            <w:pPr>
              <w:jc w:val="center"/>
            </w:pPr>
            <w:r w:rsidRPr="00FF6ECD">
              <w:t>АКТИВ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60" w:rsidRPr="00FF6ECD" w:rsidRDefault="00117460" w:rsidP="001A3B89">
            <w:pPr>
              <w:jc w:val="center"/>
            </w:pPr>
            <w:proofErr w:type="spellStart"/>
            <w:r w:rsidRPr="00FF6ECD">
              <w:t>Тыс.руб</w:t>
            </w:r>
            <w:proofErr w:type="spellEnd"/>
            <w:r w:rsidRPr="00FF6ECD">
              <w:t>.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60" w:rsidRPr="00FF6ECD" w:rsidRDefault="00117460" w:rsidP="001A3B89">
            <w:pPr>
              <w:jc w:val="center"/>
            </w:pPr>
            <w:r w:rsidRPr="00FF6ECD">
              <w:t>ПАССИВ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60" w:rsidRPr="00FF6ECD" w:rsidRDefault="00117460" w:rsidP="001A3B89">
            <w:pPr>
              <w:jc w:val="center"/>
            </w:pPr>
            <w:proofErr w:type="spellStart"/>
            <w:r w:rsidRPr="00FF6ECD">
              <w:t>Тыс.руб</w:t>
            </w:r>
            <w:proofErr w:type="spellEnd"/>
            <w:r w:rsidRPr="00FF6ECD">
              <w:t>.</w:t>
            </w:r>
          </w:p>
        </w:tc>
      </w:tr>
      <w:tr w:rsidR="00117460" w:rsidRPr="00FF6ECD" w:rsidTr="001A3B89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60" w:rsidRPr="00FF6ECD" w:rsidRDefault="00117460" w:rsidP="001A3B89">
            <w:pPr>
              <w:jc w:val="both"/>
            </w:pPr>
            <w:proofErr w:type="spellStart"/>
            <w:r w:rsidRPr="00FF6ECD">
              <w:t>Внеоборотные</w:t>
            </w:r>
            <w:proofErr w:type="spellEnd"/>
            <w:r w:rsidRPr="00FF6ECD">
              <w:t xml:space="preserve"> активы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60" w:rsidRPr="00FF6ECD" w:rsidRDefault="00117460" w:rsidP="001A3B89">
            <w:pPr>
              <w:jc w:val="center"/>
            </w:pPr>
            <w:r w:rsidRPr="00FF6ECD">
              <w:t>14000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60" w:rsidRPr="00FF6ECD" w:rsidRDefault="00117460" w:rsidP="001A3B89">
            <w:pPr>
              <w:jc w:val="both"/>
            </w:pPr>
            <w:r w:rsidRPr="00FF6ECD">
              <w:t>Капитал и резервы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60" w:rsidRPr="00FF6ECD" w:rsidRDefault="00117460" w:rsidP="001A3B89">
            <w:pPr>
              <w:jc w:val="center"/>
            </w:pPr>
            <w:r w:rsidRPr="00FF6ECD">
              <w:t>7000</w:t>
            </w:r>
          </w:p>
        </w:tc>
      </w:tr>
      <w:tr w:rsidR="00117460" w:rsidRPr="00FF6ECD" w:rsidTr="001A3B89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60" w:rsidRPr="00FF6ECD" w:rsidRDefault="00117460" w:rsidP="001A3B89">
            <w:pPr>
              <w:jc w:val="both"/>
            </w:pPr>
            <w:r w:rsidRPr="00FF6ECD">
              <w:t>Оборотные активы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60" w:rsidRPr="00FF6ECD" w:rsidRDefault="00117460" w:rsidP="001A3B89">
            <w:pPr>
              <w:jc w:val="center"/>
            </w:pPr>
            <w:r w:rsidRPr="00FF6ECD">
              <w:t>9000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60" w:rsidRPr="00FF6ECD" w:rsidRDefault="00117460" w:rsidP="001A3B89">
            <w:pPr>
              <w:jc w:val="both"/>
            </w:pPr>
            <w:r w:rsidRPr="00FF6ECD">
              <w:t>Долгосрочные обязательства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60" w:rsidRPr="00FF6ECD" w:rsidRDefault="00117460" w:rsidP="001A3B89">
            <w:pPr>
              <w:jc w:val="center"/>
            </w:pPr>
            <w:r w:rsidRPr="00FF6ECD">
              <w:t>10000</w:t>
            </w:r>
          </w:p>
        </w:tc>
      </w:tr>
      <w:tr w:rsidR="00117460" w:rsidRPr="00FF6ECD" w:rsidTr="001A3B89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60" w:rsidRPr="00FF6ECD" w:rsidRDefault="00117460" w:rsidP="001A3B89">
            <w:pPr>
              <w:jc w:val="both"/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60" w:rsidRPr="00FF6ECD" w:rsidRDefault="00117460" w:rsidP="001A3B89">
            <w:pPr>
              <w:jc w:val="center"/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60" w:rsidRPr="00FF6ECD" w:rsidRDefault="00117460" w:rsidP="001A3B89">
            <w:pPr>
              <w:jc w:val="both"/>
            </w:pPr>
            <w:r w:rsidRPr="00FF6ECD">
              <w:t>Краткосрочные обязательства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60" w:rsidRPr="00FF6ECD" w:rsidRDefault="00117460" w:rsidP="001A3B89">
            <w:pPr>
              <w:jc w:val="center"/>
            </w:pPr>
            <w:r w:rsidRPr="00FF6ECD">
              <w:t>6000</w:t>
            </w:r>
          </w:p>
        </w:tc>
      </w:tr>
      <w:tr w:rsidR="00117460" w:rsidRPr="00FF6ECD" w:rsidTr="001A3B89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60" w:rsidRPr="00FF6ECD" w:rsidRDefault="00117460" w:rsidP="001A3B89">
            <w:pPr>
              <w:jc w:val="both"/>
            </w:pPr>
            <w:r w:rsidRPr="00FF6ECD">
              <w:t>Баланс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60" w:rsidRPr="00FF6ECD" w:rsidRDefault="00117460" w:rsidP="001A3B89">
            <w:pPr>
              <w:jc w:val="center"/>
            </w:pPr>
            <w:r w:rsidRPr="00FF6ECD">
              <w:t>23000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60" w:rsidRPr="00FF6ECD" w:rsidRDefault="00117460" w:rsidP="001A3B89">
            <w:pPr>
              <w:jc w:val="both"/>
            </w:pPr>
            <w:r w:rsidRPr="00FF6ECD">
              <w:t>Баланс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60" w:rsidRPr="00FF6ECD" w:rsidRDefault="00117460" w:rsidP="001A3B89">
            <w:pPr>
              <w:jc w:val="center"/>
            </w:pPr>
            <w:r w:rsidRPr="00FF6ECD">
              <w:t>23000</w:t>
            </w:r>
          </w:p>
        </w:tc>
      </w:tr>
    </w:tbl>
    <w:p w:rsidR="00117460" w:rsidRPr="00FF6ECD" w:rsidRDefault="00117460" w:rsidP="00117460">
      <w:pPr>
        <w:jc w:val="both"/>
      </w:pPr>
    </w:p>
    <w:p w:rsidR="00117460" w:rsidRPr="00FF6ECD" w:rsidRDefault="005D7320" w:rsidP="00117460">
      <w:pPr>
        <w:jc w:val="both"/>
      </w:pPr>
      <w:r>
        <w:t>5.</w:t>
      </w:r>
      <w:r w:rsidR="00117460" w:rsidRPr="00FF6ECD">
        <w:t xml:space="preserve"> Обязан ли аудитор, работающий как предприниматель без образования юридического лица, разрабатывать правила внутреннего контроля качества проводимых им аудиторских проверок?</w:t>
      </w:r>
    </w:p>
    <w:p w:rsidR="00117460" w:rsidRPr="00FF6ECD" w:rsidRDefault="005D7320" w:rsidP="00117460">
      <w:pPr>
        <w:jc w:val="both"/>
      </w:pPr>
      <w:r>
        <w:t>6.</w:t>
      </w:r>
      <w:r w:rsidR="00117460" w:rsidRPr="00FF6ECD">
        <w:t xml:space="preserve"> Организация «А»  пригласила для провед</w:t>
      </w:r>
      <w:r>
        <w:t>ения обязательного аудита за 2020</w:t>
      </w:r>
      <w:r w:rsidR="00117460" w:rsidRPr="00FF6ECD">
        <w:t xml:space="preserve"> год аудиторскую организацию «Б», которая в 201</w:t>
      </w:r>
      <w:r>
        <w:t>8</w:t>
      </w:r>
      <w:r w:rsidR="00117460" w:rsidRPr="00FF6ECD">
        <w:t xml:space="preserve"> году провела восстановление бухгалтерского учета, а в 201</w:t>
      </w:r>
      <w:r>
        <w:t>9 и 2020</w:t>
      </w:r>
      <w:r w:rsidR="00117460" w:rsidRPr="00FF6ECD">
        <w:t xml:space="preserve"> годах вела бухгалтерский учет организации «А». Оцените ситуацию.</w:t>
      </w:r>
    </w:p>
    <w:p w:rsidR="00117460" w:rsidRPr="00FF6ECD" w:rsidRDefault="005D7320" w:rsidP="00117460">
      <w:pPr>
        <w:jc w:val="both"/>
      </w:pPr>
      <w:r>
        <w:t>7.</w:t>
      </w:r>
      <w:r w:rsidR="00117460" w:rsidRPr="00FF6ECD">
        <w:t xml:space="preserve"> Подлежит ли обязательной аудиторской проверке за 201</w:t>
      </w:r>
      <w:r>
        <w:t>9</w:t>
      </w:r>
      <w:r w:rsidR="00117460" w:rsidRPr="00FF6ECD">
        <w:t xml:space="preserve"> год муниципальное унитарное предприятие «МО-телеантенна», которое имеет следующий укрупненный баланс?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0"/>
        <w:gridCol w:w="1726"/>
        <w:gridCol w:w="3371"/>
        <w:gridCol w:w="1424"/>
      </w:tblGrid>
      <w:tr w:rsidR="00117460" w:rsidRPr="00FF6ECD" w:rsidTr="001A3B89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60" w:rsidRPr="00FF6ECD" w:rsidRDefault="00117460" w:rsidP="001A3B89">
            <w:pPr>
              <w:jc w:val="center"/>
            </w:pPr>
            <w:r w:rsidRPr="00FF6ECD">
              <w:t>АКТИВ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60" w:rsidRPr="00FF6ECD" w:rsidRDefault="00117460" w:rsidP="001A3B89">
            <w:pPr>
              <w:jc w:val="center"/>
            </w:pPr>
            <w:proofErr w:type="spellStart"/>
            <w:r w:rsidRPr="00FF6ECD">
              <w:t>Тыс.руб</w:t>
            </w:r>
            <w:proofErr w:type="spellEnd"/>
            <w:r w:rsidRPr="00FF6ECD">
              <w:t>.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60" w:rsidRPr="00FF6ECD" w:rsidRDefault="00117460" w:rsidP="001A3B89">
            <w:pPr>
              <w:jc w:val="center"/>
            </w:pPr>
            <w:r w:rsidRPr="00FF6ECD">
              <w:t>ПАССИВ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60" w:rsidRPr="00FF6ECD" w:rsidRDefault="00117460" w:rsidP="001A3B89">
            <w:pPr>
              <w:jc w:val="center"/>
            </w:pPr>
            <w:proofErr w:type="spellStart"/>
            <w:r w:rsidRPr="00FF6ECD">
              <w:t>Тыс.руб</w:t>
            </w:r>
            <w:proofErr w:type="spellEnd"/>
            <w:r w:rsidRPr="00FF6ECD">
              <w:t>.</w:t>
            </w:r>
          </w:p>
        </w:tc>
      </w:tr>
      <w:tr w:rsidR="00117460" w:rsidRPr="00FF6ECD" w:rsidTr="001A3B89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60" w:rsidRPr="00FF6ECD" w:rsidRDefault="00117460" w:rsidP="001A3B89">
            <w:pPr>
              <w:jc w:val="both"/>
            </w:pPr>
            <w:proofErr w:type="spellStart"/>
            <w:r w:rsidRPr="00FF6ECD">
              <w:t>Внеоборотные</w:t>
            </w:r>
            <w:proofErr w:type="spellEnd"/>
            <w:r w:rsidRPr="00FF6ECD">
              <w:t xml:space="preserve"> активы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60" w:rsidRPr="00FF6ECD" w:rsidRDefault="00117460" w:rsidP="001A3B89">
            <w:pPr>
              <w:jc w:val="center"/>
            </w:pPr>
            <w:r w:rsidRPr="00FF6ECD">
              <w:t>10000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60" w:rsidRPr="00FF6ECD" w:rsidRDefault="00117460" w:rsidP="001A3B89">
            <w:pPr>
              <w:jc w:val="both"/>
            </w:pPr>
            <w:r w:rsidRPr="00FF6ECD">
              <w:t>Капитал и резервы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60" w:rsidRPr="00FF6ECD" w:rsidRDefault="00117460" w:rsidP="001A3B89">
            <w:pPr>
              <w:jc w:val="center"/>
            </w:pPr>
            <w:r w:rsidRPr="00FF6ECD">
              <w:t>8000</w:t>
            </w:r>
          </w:p>
        </w:tc>
      </w:tr>
      <w:tr w:rsidR="00117460" w:rsidRPr="00FF6ECD" w:rsidTr="001A3B89">
        <w:trPr>
          <w:cantSplit/>
        </w:trPr>
        <w:tc>
          <w:tcPr>
            <w:tcW w:w="3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60" w:rsidRPr="00FF6ECD" w:rsidRDefault="00117460" w:rsidP="001A3B89">
            <w:pPr>
              <w:jc w:val="both"/>
            </w:pPr>
            <w:r w:rsidRPr="00FF6ECD">
              <w:t>Оборотные активы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60" w:rsidRPr="00FF6ECD" w:rsidRDefault="00117460" w:rsidP="001A3B89">
            <w:pPr>
              <w:jc w:val="center"/>
            </w:pPr>
            <w:r w:rsidRPr="00FF6ECD">
              <w:t>3000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60" w:rsidRPr="00FF6ECD" w:rsidRDefault="00117460" w:rsidP="001A3B89">
            <w:pPr>
              <w:jc w:val="both"/>
            </w:pPr>
            <w:r w:rsidRPr="00FF6ECD">
              <w:t>Долгосрочные обязательства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60" w:rsidRPr="00FF6ECD" w:rsidRDefault="00117460" w:rsidP="001A3B89">
            <w:pPr>
              <w:jc w:val="center"/>
            </w:pPr>
            <w:r w:rsidRPr="00FF6ECD">
              <w:t>1000</w:t>
            </w:r>
          </w:p>
        </w:tc>
      </w:tr>
      <w:tr w:rsidR="00117460" w:rsidRPr="00FF6ECD" w:rsidTr="001A3B89">
        <w:trPr>
          <w:cantSplit/>
        </w:trPr>
        <w:tc>
          <w:tcPr>
            <w:tcW w:w="3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60" w:rsidRPr="00FF6ECD" w:rsidRDefault="00117460" w:rsidP="001A3B89">
            <w:pPr>
              <w:jc w:val="both"/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60" w:rsidRPr="00FF6ECD" w:rsidRDefault="00117460" w:rsidP="001A3B89">
            <w:pPr>
              <w:jc w:val="center"/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60" w:rsidRPr="00FF6ECD" w:rsidRDefault="00117460" w:rsidP="001A3B89">
            <w:pPr>
              <w:jc w:val="both"/>
            </w:pPr>
            <w:r w:rsidRPr="00FF6ECD">
              <w:t>Краткосрочные обязательства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60" w:rsidRPr="00FF6ECD" w:rsidRDefault="00117460" w:rsidP="001A3B89">
            <w:pPr>
              <w:jc w:val="center"/>
            </w:pPr>
            <w:r w:rsidRPr="00FF6ECD">
              <w:t>4000</w:t>
            </w:r>
          </w:p>
        </w:tc>
      </w:tr>
      <w:tr w:rsidR="00117460" w:rsidRPr="00FF6ECD" w:rsidTr="001A3B89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60" w:rsidRPr="00FF6ECD" w:rsidRDefault="00117460" w:rsidP="001A3B89">
            <w:pPr>
              <w:jc w:val="both"/>
            </w:pPr>
            <w:r w:rsidRPr="00FF6ECD">
              <w:t>Баланс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60" w:rsidRPr="00FF6ECD" w:rsidRDefault="00117460" w:rsidP="001A3B89">
            <w:pPr>
              <w:jc w:val="center"/>
            </w:pPr>
            <w:r w:rsidRPr="00FF6ECD">
              <w:t>13000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60" w:rsidRPr="00FF6ECD" w:rsidRDefault="00117460" w:rsidP="001A3B89">
            <w:r w:rsidRPr="00FF6ECD">
              <w:t>Баланс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60" w:rsidRPr="00FF6ECD" w:rsidRDefault="00117460" w:rsidP="001A3B89">
            <w:pPr>
              <w:jc w:val="center"/>
            </w:pPr>
            <w:r w:rsidRPr="00FF6ECD">
              <w:t>13000</w:t>
            </w:r>
          </w:p>
        </w:tc>
      </w:tr>
    </w:tbl>
    <w:p w:rsidR="005D7320" w:rsidRDefault="005D7320" w:rsidP="005D7320">
      <w:pPr>
        <w:jc w:val="both"/>
      </w:pPr>
    </w:p>
    <w:p w:rsidR="00117460" w:rsidRPr="00FF6ECD" w:rsidRDefault="005D7320" w:rsidP="005D7320">
      <w:pPr>
        <w:jc w:val="both"/>
      </w:pPr>
      <w:r>
        <w:t>8.</w:t>
      </w:r>
      <w:r w:rsidR="00117460" w:rsidRPr="00FF6ECD">
        <w:t xml:space="preserve"> Имеет ли право аккредитованное профессиональное аудиторское объединение аннулировать квалификационный аттестат аудитора, являющегося членом этого объединения? Если да, то в каких случаях.</w:t>
      </w:r>
    </w:p>
    <w:p w:rsidR="00117460" w:rsidRPr="00FF6ECD" w:rsidRDefault="005D7320" w:rsidP="005D7320">
      <w:pPr>
        <w:jc w:val="both"/>
      </w:pPr>
      <w:r>
        <w:t xml:space="preserve">9. </w:t>
      </w:r>
      <w:r w:rsidR="00117460" w:rsidRPr="00FF6ECD">
        <w:t>В каких случаях сопутствующие аудиторские услуги несовместимы с проведением обязательной аудиторской проверки? Каков период действия этого ограничения?</w:t>
      </w:r>
    </w:p>
    <w:p w:rsidR="00117460" w:rsidRPr="00FF6ECD" w:rsidRDefault="005D7320" w:rsidP="00117460">
      <w:pPr>
        <w:jc w:val="both"/>
      </w:pPr>
      <w:r>
        <w:lastRenderedPageBreak/>
        <w:t xml:space="preserve">10. </w:t>
      </w:r>
      <w:r w:rsidR="00117460" w:rsidRPr="00FF6ECD">
        <w:t>Установите, подлежит ли обязательной аудиторской проверке следующая организация.  Благотворительный фонд «Милосердие» в течение 201</w:t>
      </w:r>
      <w:r>
        <w:t>9</w:t>
      </w:r>
      <w:r w:rsidR="00117460" w:rsidRPr="00FF6ECD">
        <w:t xml:space="preserve"> года получал благотворительные взносы от различных коммерческих организаций и направлял их (за вычетом расходов, связанных с деятельностью фонда) детским домам и интернатам.</w:t>
      </w:r>
    </w:p>
    <w:p w:rsidR="00117460" w:rsidRPr="00FF6ECD" w:rsidRDefault="005D7320" w:rsidP="005D7320">
      <w:pPr>
        <w:jc w:val="both"/>
      </w:pPr>
      <w:r>
        <w:t xml:space="preserve">11. </w:t>
      </w:r>
      <w:r w:rsidR="00117460" w:rsidRPr="00FF6ECD">
        <w:t xml:space="preserve">Обязаны ли </w:t>
      </w:r>
      <w:proofErr w:type="spellStart"/>
      <w:r w:rsidR="00117460" w:rsidRPr="00FF6ECD">
        <w:t>аудируемые</w:t>
      </w:r>
      <w:proofErr w:type="spellEnd"/>
      <w:r w:rsidR="00117460" w:rsidRPr="00FF6ECD">
        <w:t xml:space="preserve"> лица оплачивать услуги аудиторских организаций и индивидуальных аудиторов, если аудиторы выполнили работы не полностью?</w:t>
      </w:r>
    </w:p>
    <w:p w:rsidR="00117460" w:rsidRPr="00FF6ECD" w:rsidRDefault="005D7320" w:rsidP="005D7320">
      <w:pPr>
        <w:jc w:val="both"/>
      </w:pPr>
      <w:r>
        <w:t xml:space="preserve">12. </w:t>
      </w:r>
      <w:r w:rsidR="00117460" w:rsidRPr="00FF6ECD">
        <w:t>Лицензируется ли деятельность организаций, осуществляющих обучение по программам повышения квалификации аудиторов?</w:t>
      </w:r>
    </w:p>
    <w:p w:rsidR="00117460" w:rsidRPr="00FF6ECD" w:rsidRDefault="005D7320" w:rsidP="00117460">
      <w:pPr>
        <w:jc w:val="both"/>
      </w:pPr>
      <w:r>
        <w:t xml:space="preserve">13. </w:t>
      </w:r>
      <w:r w:rsidR="00117460" w:rsidRPr="00FF6ECD">
        <w:t>Установите, подлежит ли обязательной аудиторской проверке за 201</w:t>
      </w:r>
      <w:r>
        <w:t>9</w:t>
      </w:r>
      <w:r w:rsidR="00117460" w:rsidRPr="00FF6ECD">
        <w:t>г. отчетность ЗАО «Фауст». ЗАО по итогам 201</w:t>
      </w:r>
      <w:r>
        <w:t>9</w:t>
      </w:r>
      <w:r w:rsidR="00117460" w:rsidRPr="00FF6ECD">
        <w:t xml:space="preserve"> года получило выручку от продаж продукции на сумму 987 </w:t>
      </w:r>
      <w:proofErr w:type="spellStart"/>
      <w:r w:rsidR="00117460" w:rsidRPr="00FF6ECD">
        <w:t>тыс.руб</w:t>
      </w:r>
      <w:proofErr w:type="spellEnd"/>
      <w:r w:rsidR="00117460" w:rsidRPr="00FF6ECD">
        <w:t xml:space="preserve">, суммарная стоимость активов на конец года составила 2567 </w:t>
      </w:r>
      <w:proofErr w:type="spellStart"/>
      <w:r w:rsidR="00117460" w:rsidRPr="00FF6ECD">
        <w:t>тыс.руб</w:t>
      </w:r>
      <w:proofErr w:type="spellEnd"/>
      <w:r w:rsidR="00117460" w:rsidRPr="00FF6ECD">
        <w:t>. Иностранным инвесторам принадлежит 34% доли уставного капитала.</w:t>
      </w:r>
    </w:p>
    <w:p w:rsidR="00117460" w:rsidRPr="00FF6ECD" w:rsidRDefault="005D7320" w:rsidP="005D7320">
      <w:pPr>
        <w:jc w:val="both"/>
      </w:pPr>
      <w:r>
        <w:t xml:space="preserve">14. </w:t>
      </w:r>
      <w:r w:rsidR="00117460" w:rsidRPr="00FF6ECD">
        <w:t>Вправе ли индивидуальный аудитор осуществлять предпринимательскую деятельность?</w:t>
      </w:r>
    </w:p>
    <w:p w:rsidR="00117460" w:rsidRPr="00FF6ECD" w:rsidRDefault="005D7320" w:rsidP="005D7320">
      <w:pPr>
        <w:jc w:val="both"/>
      </w:pPr>
      <w:r>
        <w:t xml:space="preserve">15. </w:t>
      </w:r>
      <w:r w:rsidR="00117460" w:rsidRPr="00FF6ECD">
        <w:t>В каких случаях может быть аннулирована лицензия на право осуществления аудиторской деятельности?</w:t>
      </w:r>
    </w:p>
    <w:p w:rsidR="00117460" w:rsidRPr="00FF6ECD" w:rsidRDefault="005D7320" w:rsidP="00117460">
      <w:pPr>
        <w:jc w:val="both"/>
      </w:pPr>
      <w:r>
        <w:t xml:space="preserve">16. </w:t>
      </w:r>
      <w:r w:rsidR="00117460" w:rsidRPr="00FF6ECD">
        <w:t>Подлежит ли обязательной аудиторской проверке отчетность за 20</w:t>
      </w:r>
      <w:r w:rsidR="00117460">
        <w:t>1</w:t>
      </w:r>
      <w:r>
        <w:t>9</w:t>
      </w:r>
      <w:r w:rsidR="00117460" w:rsidRPr="00FF6ECD">
        <w:t>г. следующей организации? Торговый дом «На Смольной» по итогам 20</w:t>
      </w:r>
      <w:r w:rsidR="00117460">
        <w:t>1</w:t>
      </w:r>
      <w:r>
        <w:t>9</w:t>
      </w:r>
      <w:r w:rsidR="00117460" w:rsidRPr="00FF6ECD">
        <w:t xml:space="preserve"> года получил прибыль от продаж 2118136 </w:t>
      </w:r>
      <w:proofErr w:type="spellStart"/>
      <w:r w:rsidR="00117460" w:rsidRPr="00FF6ECD">
        <w:t>тыс.руб</w:t>
      </w:r>
      <w:proofErr w:type="spellEnd"/>
      <w:r w:rsidR="00117460" w:rsidRPr="00FF6ECD">
        <w:t xml:space="preserve">, себестоимость  проданных товаров составила 26933758 </w:t>
      </w:r>
      <w:proofErr w:type="spellStart"/>
      <w:r w:rsidR="00117460" w:rsidRPr="00FF6ECD">
        <w:t>тыс.руб</w:t>
      </w:r>
      <w:proofErr w:type="spellEnd"/>
      <w:r w:rsidR="00117460" w:rsidRPr="00FF6ECD">
        <w:t xml:space="preserve">., коммерческие расходы – 602647 </w:t>
      </w:r>
      <w:proofErr w:type="spellStart"/>
      <w:r w:rsidR="00117460" w:rsidRPr="00FF6ECD">
        <w:t>тыс.руб</w:t>
      </w:r>
      <w:proofErr w:type="spellEnd"/>
      <w:r w:rsidR="00117460" w:rsidRPr="00FF6ECD">
        <w:t>.</w:t>
      </w:r>
    </w:p>
    <w:p w:rsidR="00117460" w:rsidRPr="00FF6ECD" w:rsidRDefault="005D7320" w:rsidP="005D7320">
      <w:pPr>
        <w:jc w:val="both"/>
      </w:pPr>
      <w:r>
        <w:t xml:space="preserve">17. </w:t>
      </w:r>
      <w:r w:rsidR="00117460" w:rsidRPr="00FF6ECD">
        <w:t>Возможно ли проведение аудиторской проверки индивидуальным аудитором?</w:t>
      </w:r>
    </w:p>
    <w:p w:rsidR="00117460" w:rsidRPr="00FF6ECD" w:rsidRDefault="005D7320" w:rsidP="005D7320">
      <w:pPr>
        <w:jc w:val="both"/>
      </w:pPr>
      <w:r>
        <w:t xml:space="preserve">18. </w:t>
      </w:r>
      <w:r w:rsidR="00117460" w:rsidRPr="00FF6ECD">
        <w:t>Какие органы разрабатывают и утверждают федеральные правила (стандарты) аудиторской деятельности в Российской Федерации?</w:t>
      </w:r>
    </w:p>
    <w:p w:rsidR="00117460" w:rsidRPr="00FF6ECD" w:rsidRDefault="005D7320" w:rsidP="00117460">
      <w:pPr>
        <w:jc w:val="both"/>
      </w:pPr>
      <w:r>
        <w:t xml:space="preserve">19. </w:t>
      </w:r>
      <w:r w:rsidR="00117460" w:rsidRPr="00FF6ECD">
        <w:t>Подлежит ли обязательной аудиторской проверке за 20</w:t>
      </w:r>
      <w:r>
        <w:t>19</w:t>
      </w:r>
      <w:r w:rsidR="00117460" w:rsidRPr="00FF6ECD">
        <w:t>г. отчетнос</w:t>
      </w:r>
      <w:r>
        <w:t>ть фирмы «Альфа», которая в 2019</w:t>
      </w:r>
      <w:r w:rsidR="00117460" w:rsidRPr="00FF6ECD">
        <w:t>г. перерегистрировалась в открытое акционерное общество. Объем продаж за</w:t>
      </w:r>
      <w:r>
        <w:t xml:space="preserve"> 2019</w:t>
      </w:r>
      <w:r w:rsidR="00117460" w:rsidRPr="00FF6ECD">
        <w:t xml:space="preserve">г. составил 54161 </w:t>
      </w:r>
      <w:proofErr w:type="spellStart"/>
      <w:r w:rsidR="00117460" w:rsidRPr="00FF6ECD">
        <w:t>тыс.руб</w:t>
      </w:r>
      <w:proofErr w:type="spellEnd"/>
      <w:r w:rsidR="00117460" w:rsidRPr="00FF6ECD">
        <w:t>., суммарная стоимос</w:t>
      </w:r>
      <w:r>
        <w:t>ть активов баланса на 01.01.2019</w:t>
      </w:r>
      <w:r w:rsidR="00117460" w:rsidRPr="00FF6ECD">
        <w:t xml:space="preserve">г. составила 21119 </w:t>
      </w:r>
      <w:proofErr w:type="spellStart"/>
      <w:r w:rsidR="00117460" w:rsidRPr="00FF6ECD">
        <w:t>тыс.руб</w:t>
      </w:r>
      <w:proofErr w:type="spellEnd"/>
      <w:r w:rsidR="00117460" w:rsidRPr="00FF6ECD">
        <w:t>.</w:t>
      </w:r>
    </w:p>
    <w:p w:rsidR="00117460" w:rsidRPr="00FF6ECD" w:rsidRDefault="005D7320" w:rsidP="00117460">
      <w:pPr>
        <w:jc w:val="both"/>
      </w:pPr>
      <w:r>
        <w:t xml:space="preserve">20. </w:t>
      </w:r>
      <w:r w:rsidR="00117460" w:rsidRPr="00FF6ECD">
        <w:t>Аудитором установлено наличие оборотов в Главной книге организации по счетам 50,51,52 в корреспонденции с кредитом счетов затрат – 20,23, 25,26. Оцените ситуацию, заполните рабочий и отчетный документ аудитора.</w:t>
      </w:r>
    </w:p>
    <w:p w:rsidR="00117460" w:rsidRPr="00FF6ECD" w:rsidRDefault="005D7320" w:rsidP="00117460">
      <w:pPr>
        <w:jc w:val="both"/>
      </w:pPr>
      <w:r>
        <w:t xml:space="preserve">21 </w:t>
      </w:r>
      <w:r w:rsidR="00117460" w:rsidRPr="00FF6ECD">
        <w:t xml:space="preserve"> Организация приобрела на фондовой бирже акции покупной стоимостью 15 </w:t>
      </w:r>
      <w:proofErr w:type="spellStart"/>
      <w:r w:rsidR="00117460" w:rsidRPr="00FF6ECD">
        <w:t>млн.руб</w:t>
      </w:r>
      <w:proofErr w:type="spellEnd"/>
      <w:r w:rsidR="00117460" w:rsidRPr="00FF6ECD">
        <w:t xml:space="preserve">. Плата за услуги на аукционе – 12 </w:t>
      </w:r>
      <w:proofErr w:type="spellStart"/>
      <w:r w:rsidR="00117460" w:rsidRPr="00FF6ECD">
        <w:t>тыс.руб</w:t>
      </w:r>
      <w:proofErr w:type="spellEnd"/>
      <w:r w:rsidR="00117460" w:rsidRPr="00FF6ECD">
        <w:t xml:space="preserve">. В учете сделана запись: Д 58 – К 76 – на сумму 15 </w:t>
      </w:r>
      <w:proofErr w:type="spellStart"/>
      <w:r w:rsidR="00117460" w:rsidRPr="00FF6ECD">
        <w:t>млн.руб</w:t>
      </w:r>
      <w:proofErr w:type="spellEnd"/>
    </w:p>
    <w:p w:rsidR="00117460" w:rsidRPr="00FF6ECD" w:rsidRDefault="00117460" w:rsidP="00117460">
      <w:pPr>
        <w:jc w:val="both"/>
      </w:pPr>
      <w:r w:rsidRPr="00FF6ECD">
        <w:t xml:space="preserve">Д 76 – К 51 – на сумму 15 </w:t>
      </w:r>
      <w:proofErr w:type="spellStart"/>
      <w:r w:rsidRPr="00FF6ECD">
        <w:t>млн.руб</w:t>
      </w:r>
      <w:proofErr w:type="spellEnd"/>
    </w:p>
    <w:p w:rsidR="00117460" w:rsidRPr="00FF6ECD" w:rsidRDefault="00117460" w:rsidP="00117460">
      <w:pPr>
        <w:jc w:val="both"/>
      </w:pPr>
      <w:r w:rsidRPr="00FF6ECD">
        <w:t xml:space="preserve">Д 91 – К 71 – на сумму 12 </w:t>
      </w:r>
      <w:proofErr w:type="spellStart"/>
      <w:r w:rsidRPr="00FF6ECD">
        <w:t>тыс.руб</w:t>
      </w:r>
      <w:proofErr w:type="spellEnd"/>
    </w:p>
    <w:p w:rsidR="00117460" w:rsidRPr="00FF6ECD" w:rsidRDefault="00117460" w:rsidP="00117460">
      <w:pPr>
        <w:jc w:val="both"/>
      </w:pPr>
      <w:r w:rsidRPr="00FF6ECD">
        <w:t xml:space="preserve">Д 71 – К 50 – на сумму 12 </w:t>
      </w:r>
      <w:proofErr w:type="spellStart"/>
      <w:r w:rsidRPr="00FF6ECD">
        <w:t>тыс.руб</w:t>
      </w:r>
      <w:proofErr w:type="spellEnd"/>
      <w:r w:rsidRPr="00FF6ECD">
        <w:t>.</w:t>
      </w:r>
    </w:p>
    <w:p w:rsidR="00117460" w:rsidRPr="00FF6ECD" w:rsidRDefault="00117460" w:rsidP="00117460">
      <w:pPr>
        <w:jc w:val="both"/>
      </w:pPr>
      <w:r w:rsidRPr="00FF6ECD">
        <w:t>Оцените ситуацию.</w:t>
      </w:r>
    </w:p>
    <w:p w:rsidR="00117460" w:rsidRPr="00FF6ECD" w:rsidRDefault="005D7320" w:rsidP="00117460">
      <w:pPr>
        <w:jc w:val="both"/>
      </w:pPr>
      <w:r>
        <w:t xml:space="preserve">22. </w:t>
      </w:r>
      <w:r w:rsidR="00117460" w:rsidRPr="00FF6ECD">
        <w:t xml:space="preserve">Организация выкупила 300 собственных акций номиналом 1 </w:t>
      </w:r>
      <w:proofErr w:type="spellStart"/>
      <w:r w:rsidR="00117460" w:rsidRPr="00FF6ECD">
        <w:t>тыс.руб</w:t>
      </w:r>
      <w:proofErr w:type="spellEnd"/>
      <w:r w:rsidR="00117460" w:rsidRPr="00FF6ECD">
        <w:t xml:space="preserve">. за 250 </w:t>
      </w:r>
      <w:proofErr w:type="spellStart"/>
      <w:r w:rsidR="00117460" w:rsidRPr="00FF6ECD">
        <w:t>тыс.руб</w:t>
      </w:r>
      <w:proofErr w:type="spellEnd"/>
      <w:r w:rsidR="00117460" w:rsidRPr="00FF6ECD">
        <w:t xml:space="preserve">. В учете сделана запись: Д 58 К 50 – на сумму 250 </w:t>
      </w:r>
      <w:proofErr w:type="spellStart"/>
      <w:r w:rsidR="00117460" w:rsidRPr="00FF6ECD">
        <w:t>тыс.руб</w:t>
      </w:r>
      <w:proofErr w:type="spellEnd"/>
      <w:r w:rsidR="00117460" w:rsidRPr="00FF6ECD">
        <w:t>. Оцените ситуацию.</w:t>
      </w:r>
    </w:p>
    <w:p w:rsidR="00117460" w:rsidRPr="00FF6ECD" w:rsidRDefault="005D7320" w:rsidP="00117460">
      <w:pPr>
        <w:jc w:val="both"/>
      </w:pPr>
      <w:r>
        <w:t xml:space="preserve">23. </w:t>
      </w:r>
      <w:r w:rsidR="00117460" w:rsidRPr="00FF6ECD">
        <w:t xml:space="preserve">Организация намеревалась приобрести ценные бумаги. По поводу этой покупки были получены и оплачены информационные услуги в сумме 10 </w:t>
      </w:r>
      <w:proofErr w:type="spellStart"/>
      <w:r w:rsidR="00117460" w:rsidRPr="00FF6ECD">
        <w:t>тыс.руб</w:t>
      </w:r>
      <w:proofErr w:type="spellEnd"/>
      <w:r w:rsidR="00117460" w:rsidRPr="00FF6ECD">
        <w:t>. Ценные бумаги не были приобретены. В учете запись:</w:t>
      </w:r>
    </w:p>
    <w:p w:rsidR="00117460" w:rsidRPr="00FF6ECD" w:rsidRDefault="00117460" w:rsidP="00117460">
      <w:pPr>
        <w:jc w:val="both"/>
      </w:pPr>
      <w:r w:rsidRPr="00FF6ECD">
        <w:t xml:space="preserve">Д 58 – К 76 – на сумму 10 </w:t>
      </w:r>
      <w:proofErr w:type="spellStart"/>
      <w:r w:rsidRPr="00FF6ECD">
        <w:t>тыс.руб</w:t>
      </w:r>
      <w:proofErr w:type="spellEnd"/>
      <w:r w:rsidRPr="00FF6ECD">
        <w:t>. Оцените ситуацию.</w:t>
      </w:r>
    </w:p>
    <w:p w:rsidR="00117460" w:rsidRPr="00FF6ECD" w:rsidRDefault="005D7320" w:rsidP="00117460">
      <w:pPr>
        <w:jc w:val="both"/>
      </w:pPr>
      <w:r>
        <w:t xml:space="preserve">24. </w:t>
      </w:r>
      <w:r w:rsidR="00117460" w:rsidRPr="00FF6ECD">
        <w:t xml:space="preserve">Два объекта основных средств первоначальной стоимостью 43500 руб. каждый списаны вследствие преждевременного износа. По одному объекту начисленная амортизация составила 41800 </w:t>
      </w:r>
      <w:proofErr w:type="spellStart"/>
      <w:r w:rsidR="00117460" w:rsidRPr="00FF6ECD">
        <w:t>руб</w:t>
      </w:r>
      <w:proofErr w:type="spellEnd"/>
      <w:r w:rsidR="00117460" w:rsidRPr="00FF6ECD">
        <w:t xml:space="preserve">, по второму – 42000руб. За демонтаж основных средств начислена заработная плата работникам в размере 1175 руб. Оприходовано металлолома на сумму 400 </w:t>
      </w:r>
      <w:proofErr w:type="spellStart"/>
      <w:r w:rsidR="00117460" w:rsidRPr="00FF6ECD">
        <w:t>руб</w:t>
      </w:r>
      <w:proofErr w:type="spellEnd"/>
      <w:r w:rsidR="00117460" w:rsidRPr="00FF6ECD">
        <w:t>, запасных частей на 950 руб. Результат этой операции в сумме 4375 руб. списан на счет 83 «Добавочный капитал». Оцените ситуацию.</w:t>
      </w:r>
    </w:p>
    <w:p w:rsidR="00BA5BB7" w:rsidRDefault="0074398D"/>
    <w:sectPr w:rsidR="00BA5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460"/>
    <w:rsid w:val="00117460"/>
    <w:rsid w:val="005D7320"/>
    <w:rsid w:val="0074398D"/>
    <w:rsid w:val="009E1E6F"/>
    <w:rsid w:val="00E7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4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4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Аннан Николаевна</dc:creator>
  <cp:lastModifiedBy>Павлова Аннан Николаевна</cp:lastModifiedBy>
  <cp:revision>3</cp:revision>
  <dcterms:created xsi:type="dcterms:W3CDTF">2021-05-12T13:35:00Z</dcterms:created>
  <dcterms:modified xsi:type="dcterms:W3CDTF">2022-01-09T12:24:00Z</dcterms:modified>
</cp:coreProperties>
</file>