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5B9B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МИНИСТЕРСТВО ТРАНСПОРТА РОССИЙСКОЙ ФЕДЕРАЦИИ</w:t>
      </w:r>
    </w:p>
    <w:p w:rsidR="00000000" w:rsidRDefault="00285B9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ФЕДЕРАЛЬНОЕ ГОСУДАРСТВЕННОЕ АВТОНОМНОЕ ОБРАЗОВАТЕЛЬНОЕ</w:t>
      </w:r>
    </w:p>
    <w:p w:rsidR="00000000" w:rsidRDefault="00285B9B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УЧРЕЖДЕНИЕ ВЫСШЕГО ОБРАЗОВАНИЯ</w:t>
      </w:r>
    </w:p>
    <w:p w:rsidR="00000000" w:rsidRDefault="00285B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>«РОССИЙСКИЙ УНИВЕРСИТЕТ ТРАНСПОРТА»</w:t>
      </w:r>
    </w:p>
    <w:p w:rsidR="00000000" w:rsidRDefault="00285B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</w:p>
    <w:p w:rsidR="00000000" w:rsidRDefault="00285B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00000" w:rsidRDefault="00285B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7829"/>
      </w:tblGrid>
      <w:tr w:rsidR="00000000">
        <w:trPr>
          <w:jc w:val="center"/>
        </w:trPr>
        <w:tc>
          <w:tcPr>
            <w:tcW w:w="910" w:type="pct"/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Кафедра</w:t>
            </w:r>
          </w:p>
        </w:tc>
        <w:tc>
          <w:tcPr>
            <w:tcW w:w="409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pStyle w:val="10"/>
              <w:ind w:left="39"/>
              <w:rPr>
                <w:noProof/>
                <w:lang w:val="ru-RU"/>
              </w:rPr>
            </w:pPr>
            <w:r>
              <w:rPr>
                <w:caps w:val="0"/>
                <w:noProof/>
                <w:lang w:val="ru-RU"/>
              </w:rPr>
              <w:t>«Строительные материалы и технологии»</w:t>
            </w:r>
          </w:p>
        </w:tc>
      </w:tr>
      <w:tr w:rsidR="00000000">
        <w:trPr>
          <w:jc w:val="center"/>
        </w:trPr>
        <w:tc>
          <w:tcPr>
            <w:tcW w:w="910" w:type="pct"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0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285B9B">
            <w:pPr>
              <w:spacing w:after="0" w:line="240" w:lineRule="auto"/>
              <w:rPr>
                <w:rStyle w:val="1"/>
                <w:noProof/>
                <w:lang w:val="ru-RU"/>
              </w:rPr>
            </w:pPr>
          </w:p>
        </w:tc>
      </w:tr>
      <w:tr w:rsidR="00000000">
        <w:trPr>
          <w:jc w:val="center"/>
        </w:trPr>
        <w:tc>
          <w:tcPr>
            <w:tcW w:w="910" w:type="pct"/>
            <w:hideMark/>
          </w:tcPr>
          <w:p w:rsidR="00000000" w:rsidRDefault="00285B9B">
            <w:pPr>
              <w:spacing w:after="0" w:line="240" w:lineRule="auto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Автор</w:t>
            </w:r>
          </w:p>
        </w:tc>
        <w:tc>
          <w:tcPr>
            <w:tcW w:w="4090" w:type="pct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13"/>
            </w:tblGrid>
            <w:tr w:rsidR="00000000">
              <w:tc>
                <w:tcPr>
                  <w:tcW w:w="84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00000" w:rsidRDefault="00285B9B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Добшиц 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Лев Михайлович, д.т.н., профессор</w:t>
                  </w:r>
                </w:p>
              </w:tc>
            </w:tr>
          </w:tbl>
          <w:p w:rsidR="00000000" w:rsidRDefault="00285B9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</w:tbl>
    <w:p w:rsidR="00000000" w:rsidRDefault="00285B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00000" w:rsidRDefault="00285B9B">
      <w:pPr>
        <w:spacing w:after="0" w:line="240" w:lineRule="auto"/>
        <w:jc w:val="center"/>
        <w:rPr>
          <w:rFonts w:ascii="Times New Roman" w:hAnsi="Times New Roman" w:cs="Times New Roman"/>
          <w:b/>
          <w:caps/>
          <w:noProof/>
          <w:sz w:val="32"/>
          <w:szCs w:val="24"/>
        </w:rPr>
      </w:pPr>
      <w:r>
        <w:rPr>
          <w:rFonts w:ascii="Times New Roman" w:hAnsi="Times New Roman" w:cs="Times New Roman"/>
          <w:b/>
          <w:caps/>
          <w:noProof/>
          <w:sz w:val="32"/>
          <w:szCs w:val="24"/>
        </w:rPr>
        <w:t>Фонд оценочных средств по практике</w:t>
      </w:r>
    </w:p>
    <w:p w:rsidR="00000000" w:rsidRDefault="00285B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00000" w:rsidRDefault="00285B9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t xml:space="preserve">Вид практики: </w:t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4"/>
        </w:rPr>
        <w:t>Технологическая практика 1</w:t>
      </w:r>
      <w:bookmarkEnd w:id="0"/>
    </w:p>
    <w:p w:rsidR="00000000" w:rsidRDefault="00285B9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8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000000">
        <w:trPr>
          <w:jc w:val="center"/>
        </w:trPr>
        <w:tc>
          <w:tcPr>
            <w:tcW w:w="1760" w:type="pct"/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Направление подготовки: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pStyle w:val="10"/>
              <w:rPr>
                <w:noProof/>
                <w:sz w:val="26"/>
                <w:szCs w:val="26"/>
                <w:lang w:val="ru-RU"/>
              </w:rPr>
            </w:pPr>
            <w:r>
              <w:rPr>
                <w:caps w:val="0"/>
                <w:noProof/>
                <w:sz w:val="26"/>
                <w:szCs w:val="26"/>
                <w:lang w:val="ru-RU"/>
              </w:rPr>
              <w:t>08.03.01</w:t>
            </w:r>
            <w:r>
              <w:rPr>
                <w:noProof/>
                <w:sz w:val="26"/>
                <w:szCs w:val="26"/>
                <w:lang w:val="ru-RU"/>
              </w:rPr>
              <w:t xml:space="preserve"> –</w:t>
            </w:r>
            <w:r>
              <w:rPr>
                <w:caps w:val="0"/>
                <w:noProof/>
                <w:sz w:val="26"/>
                <w:szCs w:val="26"/>
                <w:lang w:val="ru-RU"/>
              </w:rPr>
              <w:t xml:space="preserve"> Строительство</w:t>
            </w:r>
          </w:p>
        </w:tc>
      </w:tr>
      <w:tr w:rsidR="00000000">
        <w:trPr>
          <w:jc w:val="center"/>
        </w:trPr>
        <w:tc>
          <w:tcPr>
            <w:tcW w:w="1760" w:type="pct"/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Профиль: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pStyle w:val="10"/>
              <w:rPr>
                <w:noProof/>
                <w:sz w:val="26"/>
                <w:szCs w:val="26"/>
                <w:lang w:val="ru-RU"/>
              </w:rPr>
            </w:pPr>
            <w:r>
              <w:rPr>
                <w:caps w:val="0"/>
                <w:noProof/>
                <w:sz w:val="26"/>
                <w:szCs w:val="26"/>
                <w:lang w:val="ru-RU"/>
              </w:rPr>
              <w:t>Промышленное и гражданское строительство</w:t>
            </w:r>
          </w:p>
        </w:tc>
      </w:tr>
      <w:tr w:rsidR="00000000">
        <w:trPr>
          <w:jc w:val="center"/>
        </w:trPr>
        <w:tc>
          <w:tcPr>
            <w:tcW w:w="1760" w:type="pct"/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Квалификация выпускника: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pStyle w:val="10"/>
              <w:rPr>
                <w:noProof/>
                <w:sz w:val="26"/>
                <w:szCs w:val="26"/>
                <w:lang w:val="ru-RU"/>
              </w:rPr>
            </w:pPr>
            <w:r>
              <w:rPr>
                <w:caps w:val="0"/>
                <w:noProof/>
                <w:sz w:val="26"/>
                <w:szCs w:val="26"/>
                <w:lang w:val="ru-RU"/>
              </w:rPr>
              <w:t>Бакалавр</w:t>
            </w:r>
          </w:p>
        </w:tc>
      </w:tr>
      <w:tr w:rsidR="00000000">
        <w:trPr>
          <w:jc w:val="center"/>
        </w:trPr>
        <w:tc>
          <w:tcPr>
            <w:tcW w:w="1760" w:type="pct"/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Форма обучения: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pStyle w:val="10"/>
              <w:rPr>
                <w:noProof/>
                <w:sz w:val="26"/>
                <w:szCs w:val="26"/>
                <w:lang w:val="ru-RU"/>
              </w:rPr>
            </w:pPr>
            <w:r>
              <w:rPr>
                <w:caps w:val="0"/>
                <w:noProof/>
                <w:sz w:val="26"/>
                <w:szCs w:val="26"/>
                <w:lang w:val="ru-RU"/>
              </w:rPr>
              <w:t>очная</w:t>
            </w:r>
          </w:p>
        </w:tc>
      </w:tr>
      <w:tr w:rsidR="00000000">
        <w:trPr>
          <w:jc w:val="center"/>
        </w:trPr>
        <w:tc>
          <w:tcPr>
            <w:tcW w:w="1760" w:type="pct"/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Год начала обучения: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pStyle w:val="10"/>
              <w:rPr>
                <w:caps w:val="0"/>
                <w:noProof/>
                <w:sz w:val="26"/>
                <w:szCs w:val="26"/>
                <w:lang w:val="ru-RU"/>
              </w:rPr>
            </w:pPr>
            <w:r>
              <w:rPr>
                <w:caps w:val="0"/>
                <w:noProof/>
                <w:sz w:val="26"/>
                <w:szCs w:val="26"/>
                <w:lang w:val="ru-RU"/>
              </w:rPr>
              <w:t>2020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rPr>
          <w:trHeight w:val="20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Одобрено на заседании кафедры 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Протокол № 7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 мая 2020 г.</w:t>
            </w:r>
          </w:p>
        </w:tc>
      </w:tr>
      <w:tr w:rsidR="00000000">
        <w:trPr>
          <w:trHeight w:val="20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0">
                      <wp:simplePos x="0" y="0"/>
                      <wp:positionH relativeFrom="page">
                        <wp:posOffset>326390</wp:posOffset>
                      </wp:positionH>
                      <wp:positionV relativeFrom="page">
                        <wp:posOffset>100330</wp:posOffset>
                      </wp:positionV>
                      <wp:extent cx="1663065" cy="975360"/>
                      <wp:effectExtent l="0" t="0" r="0" b="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975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285B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5.7pt;margin-top:7.9pt;width:130.95pt;height:76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" o:allowoverlap="f" filled="f" stroked="f">
                      <v:textbox>
                        <w:txbxContent>
                          <w:p w:rsidR="00000000" w:rsidRDefault="00285B9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Заведующий кафедрой</w:t>
            </w:r>
          </w:p>
        </w:tc>
      </w:tr>
      <w:tr w:rsidR="00000000">
        <w:trPr>
          <w:trHeight w:val="20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Б.В. Гусев</w:t>
            </w:r>
          </w:p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00000" w:rsidRDefault="00285B9B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000000" w:rsidRDefault="00285B9B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33020</wp:posOffset>
                </wp:positionV>
                <wp:extent cx="2847340" cy="696595"/>
                <wp:effectExtent l="6985" t="13970" r="12700" b="13335"/>
                <wp:wrapThrough wrapText="bothSides">
                  <wp:wrapPolygon edited="0">
                    <wp:start x="506" y="-295"/>
                    <wp:lineTo x="-72" y="886"/>
                    <wp:lineTo x="-72" y="20714"/>
                    <wp:lineTo x="506" y="21600"/>
                    <wp:lineTo x="21094" y="21600"/>
                    <wp:lineTo x="21239" y="21600"/>
                    <wp:lineTo x="21672" y="19237"/>
                    <wp:lineTo x="21672" y="2363"/>
                    <wp:lineTo x="21383" y="295"/>
                    <wp:lineTo x="21022" y="-295"/>
                    <wp:lineTo x="506" y="-295"/>
                  </wp:wrapPolygon>
                </wp:wrapThrough>
                <wp:docPr id="1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340" cy="696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4299"/>
                            </w:tblGrid>
                            <w:tr w:rsidR="00000000">
                              <w:tc>
                                <w:tcPr>
                                  <w:tcW w:w="5000" w:type="pct"/>
                                  <w:vAlign w:val="center"/>
                                  <w:hideMark/>
                                </w:tcPr>
                                <w:p w:rsidR="00000000" w:rsidRDefault="00285B9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noProof/>
                                      <w:color w:val="0070C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Calibri"/>
                                      <w:noProof/>
                                      <w:color w:val="0070C0"/>
                                      <w:sz w:val="16"/>
                                    </w:rPr>
                                    <w:t xml:space="preserve">Фонд оценочных средств по практике </w:t>
                                  </w: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70C0"/>
                                      <w:sz w:val="16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color w:val="0070C0"/>
                                      <w:sz w:val="16"/>
                                    </w:rPr>
                                    <w:t>виде электронного документа выгружен из единой корпоративной информационной системы управления университетом и соответствует оригиналу</w:t>
                                  </w:r>
                                </w:p>
                              </w:tc>
                            </w:tr>
                          </w:tbl>
                          <w:p w:rsidR="00000000" w:rsidRDefault="00285B9B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7" style="position:absolute;margin-left:4.3pt;margin-top:2.6pt;width:224.2pt;height:54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" strokecolor="#5b9bd5" strokeweight="1pt">
                <v:textbox>
                  <w:txbxContent>
                    <w:tbl>
                      <w:tblPr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4299"/>
                      </w:tblGrid>
                      <w:tr w:rsidR="00000000">
                        <w:tc>
                          <w:tcPr>
                            <w:tcW w:w="5000" w:type="pct"/>
                            <w:vAlign w:val="center"/>
                            <w:hideMark/>
                          </w:tcPr>
                          <w:p w:rsidR="00000000" w:rsidRDefault="00285B9B">
                            <w:pPr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Calibri"/>
                                <w:noProof/>
                                <w:color w:val="0070C0"/>
                                <w:sz w:val="16"/>
                              </w:rPr>
                              <w:t xml:space="preserve">Фонд оценочных средств по практике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70C0"/>
                                <w:sz w:val="16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color w:val="0070C0"/>
                                <w:sz w:val="16"/>
                              </w:rPr>
                              <w:t>виде электронного документа выгружен из единой корпоративной информационной системы управления университетом и соответствует оригиналу</w:t>
                            </w:r>
                          </w:p>
                        </w:tc>
                      </w:tr>
                    </w:tbl>
                    <w:p w:rsidR="00000000" w:rsidRDefault="00285B9B">
                      <w:pPr>
                        <w:jc w:val="center"/>
                        <w:rPr>
                          <w:rFonts w:ascii="Times New Roman" w:hAnsi="Times New Roman"/>
                          <w:noProof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696595</wp:posOffset>
                </wp:positionH>
                <wp:positionV relativeFrom="page">
                  <wp:posOffset>9865995</wp:posOffset>
                </wp:positionV>
                <wp:extent cx="6486525" cy="396240"/>
                <wp:effectExtent l="0" t="0" r="0" b="25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285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Москва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54.85pt;margin-top:776.85pt;width:510.75pt;height:31.2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" o:allowoverlap="f" filled="f" stroked="f">
                <v:textbox style="mso-fit-shape-to-text:t">
                  <w:txbxContent>
                    <w:p w:rsidR="00000000" w:rsidRDefault="00285B9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Москва 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br w:type="page"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0">
                <wp:simplePos x="0" y="0"/>
                <wp:positionH relativeFrom="column">
                  <wp:posOffset>2948940</wp:posOffset>
                </wp:positionH>
                <wp:positionV relativeFrom="paragraph">
                  <wp:posOffset>-43180</wp:posOffset>
                </wp:positionV>
                <wp:extent cx="3258185" cy="920115"/>
                <wp:effectExtent l="0" t="0" r="0" b="0"/>
                <wp:wrapThrough wrapText="bothSides">
                  <wp:wrapPolygon edited="0">
                    <wp:start x="0" y="0"/>
                    <wp:lineTo x="0" y="21019"/>
                    <wp:lineTo x="21469" y="21019"/>
                    <wp:lineTo x="21469" y="0"/>
                    <wp:lineTo x="0" y="0"/>
                  </wp:wrapPolygon>
                </wp:wrapThrough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18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Ind w:w="-31" w:type="dxa"/>
                              <w:tblBorders>
                                <w:top w:val="single" w:sz="8" w:space="0" w:color="4F81BD" w:themeColor="accent1"/>
                                <w:left w:val="single" w:sz="8" w:space="0" w:color="4F81BD" w:themeColor="accent1"/>
                                <w:bottom w:val="single" w:sz="8" w:space="0" w:color="4F81BD" w:themeColor="accent1"/>
                                <w:right w:val="single" w:sz="8" w:space="0" w:color="4F81BD" w:themeColor="accent1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12"/>
                            </w:tblGrid>
                            <w:tr w:rsidR="00000000">
                              <w:trPr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single" w:sz="8" w:space="0" w:color="4F81BD" w:themeColor="accent1"/>
                                    <w:left w:val="single" w:sz="8" w:space="0" w:color="4F81BD" w:themeColor="accent1"/>
                                    <w:bottom w:val="nil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000000" w:rsidRDefault="00285B9B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>Простая электронная подпись, выданная РУТ (МИИТ)</w:t>
                                  </w:r>
                                </w:p>
                              </w:tc>
                            </w:tr>
                            <w:tr w:rsidR="00000000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nil"/>
                                    <w:left w:val="single" w:sz="8" w:space="0" w:color="4F81BD" w:themeColor="accent1"/>
                                    <w:bottom w:val="nil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000000" w:rsidRDefault="00285B9B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>ID подписи: 8252</w:t>
                                  </w:r>
                                </w:p>
                              </w:tc>
                            </w:tr>
                            <w:tr w:rsidR="00000000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nil"/>
                                    <w:left w:val="single" w:sz="8" w:space="0" w:color="4F81BD" w:themeColor="accent1"/>
                                    <w:bottom w:val="nil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000000" w:rsidRDefault="00285B9B">
                                  <w:pPr>
                                    <w:spacing w:after="0" w:line="276" w:lineRule="auto"/>
                                    <w:ind w:left="879" w:hanging="879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 xml:space="preserve">Подписал:    Заведующий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>кафедрой Гусев Борис Владимирович</w:t>
                                  </w:r>
                                </w:p>
                              </w:tc>
                            </w:tr>
                            <w:tr w:rsidR="00000000">
                              <w:trPr>
                                <w:trHeight w:val="163"/>
                                <w:jc w:val="center"/>
                              </w:trPr>
                              <w:tc>
                                <w:tcPr>
                                  <w:tcW w:w="4512" w:type="dxa"/>
                                  <w:tcBorders>
                                    <w:top w:val="nil"/>
                                    <w:left w:val="single" w:sz="8" w:space="0" w:color="4F81BD" w:themeColor="accent1"/>
                                    <w:bottom w:val="single" w:sz="8" w:space="0" w:color="4F81BD" w:themeColor="accent1"/>
                                    <w:right w:val="single" w:sz="8" w:space="0" w:color="4F81BD" w:themeColor="accent1"/>
                                  </w:tcBorders>
                                  <w:hideMark/>
                                </w:tcPr>
                                <w:p w:rsidR="00000000" w:rsidRDefault="00285B9B">
                                  <w:pPr>
                                    <w:spacing w:after="0" w:line="276" w:lineRule="auto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color w:val="0070C0"/>
                                      <w:sz w:val="16"/>
                                    </w:rPr>
                                    <w:t>Дата: 15.05.2020</w:t>
                                  </w:r>
                                </w:p>
                              </w:tc>
                            </w:tr>
                          </w:tbl>
                          <w:p w:rsidR="00000000" w:rsidRDefault="00285B9B">
                            <w:pPr>
                              <w:jc w:val="center"/>
                              <w:rPr>
                                <w:noProof/>
                                <w:color w:val="0070C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232.2pt;margin-top:-3.4pt;width:256.55pt;height:72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" o:allowoverlap="f" stroked="f" strokeweight="1pt">
                <v:stroke joinstyle="round"/>
                <v:textbox>
                  <w:txbxContent>
                    <w:tbl>
                      <w:tblPr>
                        <w:tblW w:w="0" w:type="auto"/>
                        <w:jc w:val="center"/>
                        <w:tblInd w:w="-31" w:type="dxa"/>
                        <w:tblBorders>
                          <w:top w:val="single" w:sz="8" w:space="0" w:color="4F81BD" w:themeColor="accent1"/>
                          <w:left w:val="single" w:sz="8" w:space="0" w:color="4F81BD" w:themeColor="accent1"/>
                          <w:bottom w:val="single" w:sz="8" w:space="0" w:color="4F81BD" w:themeColor="accent1"/>
                          <w:right w:val="single" w:sz="8" w:space="0" w:color="4F81BD" w:themeColor="accent1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12"/>
                      </w:tblGrid>
                      <w:tr w:rsidR="00000000">
                        <w:trPr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single" w:sz="8" w:space="0" w:color="4F81BD" w:themeColor="accent1"/>
                              <w:left w:val="single" w:sz="8" w:space="0" w:color="4F81BD" w:themeColor="accent1"/>
                              <w:bottom w:val="nil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000000" w:rsidRDefault="00285B9B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16"/>
                              </w:rPr>
                              <w:t>Простая электронная подпись, выданная РУТ (МИИТ)</w:t>
                            </w:r>
                          </w:p>
                        </w:tc>
                      </w:tr>
                      <w:tr w:rsidR="00000000">
                        <w:trPr>
                          <w:trHeight w:val="163"/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nil"/>
                              <w:left w:val="single" w:sz="8" w:space="0" w:color="4F81BD" w:themeColor="accent1"/>
                              <w:bottom w:val="nil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000000" w:rsidRDefault="00285B9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16"/>
                              </w:rPr>
                              <w:t>ID подписи: 8252</w:t>
                            </w:r>
                          </w:p>
                        </w:tc>
                      </w:tr>
                      <w:tr w:rsidR="00000000">
                        <w:trPr>
                          <w:trHeight w:val="163"/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nil"/>
                              <w:left w:val="single" w:sz="8" w:space="0" w:color="4F81BD" w:themeColor="accent1"/>
                              <w:bottom w:val="nil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000000" w:rsidRDefault="00285B9B">
                            <w:pPr>
                              <w:spacing w:after="0" w:line="276" w:lineRule="auto"/>
                              <w:ind w:left="879" w:hanging="879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16"/>
                              </w:rPr>
                              <w:t xml:space="preserve">Подписал:    Заведующий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16"/>
                              </w:rPr>
                              <w:t>кафедрой Гусев Борис Владимирович</w:t>
                            </w:r>
                          </w:p>
                        </w:tc>
                      </w:tr>
                      <w:tr w:rsidR="00000000">
                        <w:trPr>
                          <w:trHeight w:val="163"/>
                          <w:jc w:val="center"/>
                        </w:trPr>
                        <w:tc>
                          <w:tcPr>
                            <w:tcW w:w="4512" w:type="dxa"/>
                            <w:tcBorders>
                              <w:top w:val="nil"/>
                              <w:left w:val="single" w:sz="8" w:space="0" w:color="4F81BD" w:themeColor="accent1"/>
                              <w:bottom w:val="single" w:sz="8" w:space="0" w:color="4F81BD" w:themeColor="accent1"/>
                              <w:right w:val="single" w:sz="8" w:space="0" w:color="4F81BD" w:themeColor="accent1"/>
                            </w:tcBorders>
                            <w:hideMark/>
                          </w:tcPr>
                          <w:p w:rsidR="00000000" w:rsidRDefault="00285B9B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16"/>
                              </w:rPr>
                              <w:t>Дата: 15.05.2020</w:t>
                            </w:r>
                          </w:p>
                        </w:tc>
                      </w:tr>
                    </w:tbl>
                    <w:p w:rsidR="00000000" w:rsidRDefault="00285B9B">
                      <w:pPr>
                        <w:jc w:val="center"/>
                        <w:rPr>
                          <w:noProof/>
                          <w:color w:val="0070C0"/>
                          <w:sz w:val="16"/>
                        </w:rPr>
                      </w:pPr>
                    </w:p>
                  </w:txbxContent>
                </v:textbox>
                <w10:wrap type="through"/>
                <w10:anchorlock/>
              </v:rect>
            </w:pict>
          </mc:Fallback>
        </mc:AlternateContent>
      </w:r>
    </w:p>
    <w:p w:rsidR="00000000" w:rsidRDefault="00285B9B">
      <w:pPr>
        <w:spacing w:after="0" w:line="240" w:lineRule="auto"/>
        <w:jc w:val="center"/>
        <w:rPr>
          <w:rFonts w:ascii="Times New Roman" w:hAnsi="Times New Roman" w:cs="Times New Roman"/>
          <w:caps/>
          <w:noProof/>
          <w:sz w:val="28"/>
          <w:szCs w:val="24"/>
        </w:rPr>
      </w:pPr>
      <w:r>
        <w:rPr>
          <w:rFonts w:ascii="Times New Roman" w:hAnsi="Times New Roman" w:cs="Times New Roman"/>
          <w:caps/>
          <w:noProof/>
          <w:sz w:val="28"/>
          <w:szCs w:val="24"/>
        </w:rPr>
        <w:lastRenderedPageBreak/>
        <w:t>Фонд оценочных средств для проведения промежуточной аттестации по практике</w:t>
      </w:r>
    </w:p>
    <w:p w:rsidR="00000000" w:rsidRDefault="00285B9B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t>«</w:t>
      </w:r>
      <w:r>
        <w:rPr>
          <w:rFonts w:ascii="Times New Roman" w:hAnsi="Times New Roman" w:cs="Times New Roman"/>
          <w:noProof/>
          <w:sz w:val="28"/>
          <w:szCs w:val="24"/>
          <w:u w:val="single"/>
        </w:rPr>
        <w:t>Технологическая практика 1</w:t>
      </w:r>
      <w:r>
        <w:rPr>
          <w:rFonts w:ascii="Times New Roman" w:hAnsi="Times New Roman" w:cs="Times New Roman"/>
          <w:noProof/>
          <w:sz w:val="28"/>
          <w:szCs w:val="24"/>
        </w:rPr>
        <w:t>»</w:t>
      </w:r>
    </w:p>
    <w:p w:rsidR="00000000" w:rsidRDefault="00285B9B">
      <w:pPr>
        <w:spacing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1.1 Оценивание и контроль</w:t>
      </w:r>
    </w:p>
    <w:p w:rsidR="00000000" w:rsidRDefault="00285B9B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сформированности </w:t>
      </w:r>
      <w:r>
        <w:rPr>
          <w:rFonts w:ascii="Times New Roman" w:hAnsi="Times New Roman" w:cs="Times New Roman"/>
          <w:noProof/>
          <w:sz w:val="24"/>
          <w:szCs w:val="24"/>
        </w:rPr>
        <w:t>компетенций осуществляется с помощью текущего контроля и промежуточной аттестации.</w:t>
      </w:r>
      <w:r>
        <w:rPr>
          <w:rFonts w:ascii="Times New Roman" w:hAnsi="Times New Roman" w:cs="Times New Roman"/>
          <w:noProof/>
          <w:sz w:val="24"/>
          <w:szCs w:val="24"/>
        </w:rPr>
        <w:br/>
        <w:t>Текущий контроль успеваемости и промежуточная аттестация проводятся в соответствии с Положением об организации текущего контроля и промежуточной аттестации обучающихся по пр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ограмме магистратуры в университете </w:t>
      </w:r>
    </w:p>
    <w:p w:rsidR="00000000" w:rsidRDefault="00285B9B">
      <w:pPr>
        <w:spacing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1.2 Сводная таблица фонда оценочных средств по практике</w:t>
      </w:r>
    </w:p>
    <w:tbl>
      <w:tblPr>
        <w:tblStyle w:val="a8"/>
        <w:tblW w:w="5000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76"/>
        <w:gridCol w:w="6533"/>
        <w:gridCol w:w="2462"/>
      </w:tblGrid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№ п.п</w:t>
            </w:r>
          </w:p>
        </w:tc>
        <w:tc>
          <w:tcPr>
            <w:tcW w:w="8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t>Перечень компетенций, формируемых практикой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t>Этапы формирования компетенций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Название и содержание этапа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Коды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формируемых на этапе компетенций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Этап 1: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Подготовительный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 ознакомительная лекция,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инструктаж по технике безопасности;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формирование индивидуальных заданий по практике;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знакомство со структурой, учредительными документами организации (учрежд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ения);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изучение функциональных обязанностей (должностных инструкций) сотрудников подразделения, в котором проходит практика.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Этап 2: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Основной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 постановка заданий руководителем практики от организации;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самостоятельное изучение научно-практических проблем современного строительства и девелопмента;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ведение дневника прохождения практики.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Этап 3: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Заключительный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 круглый стол для подведения итогов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проверка дневника и отчета по п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рактике;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анализ прилагаемых к отчету документов;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защита отчета по практике;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зачет с оценкой.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t>Показатели оценивания компетенций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Название и содержание этапа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Коды формируемых на этапе компетенций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Этап 1: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Подготовительный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 посещение ознакомительной лекции;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прохождение инструктажа по технике безопасности;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получение и усвоение индивидуального задания по практике.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Этап 2: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Основной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 выполнение заданий руководителя практики от кафедры;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раб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ота в качестве стажера или ассистента в управлении строительной или девелоперской организации;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планомерное и формально соответствующее требованиям ведение дневника прохождения практики.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Этап 3: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Заключительный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участие в круглом столе для подведения итогов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представление дневника и отчета по практике;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осуществление защиты отчета по практике;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получение зачета с оценкой.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t>Критерии оценки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Название и содержание этапа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 xml:space="preserve">Коды </w: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формируемых на этапе компетенций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Этап 1: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Подготовительный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- обязательное посещение ознакомительной лекции;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своевременное, до начала практики, получение и усвоение индивидуального задания по практике.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ПКС-9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Этап 2: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Основной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своевременное и квалифицированное выполнение заданий руководителя практики от организации;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Дневник заполнен не реже, чем одного раза в два дня, по оформлению соответствует предъявляемым требованиям.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</w:tr>
      <w:tr w:rsidR="0000000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Этап 3: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Заключительный</w:t>
            </w:r>
          </w:p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 активное, заин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тересованное и продуктивное участие в круглом столе для подведения итогов практики;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своевременное представление правильно заполненных дневника и отчета по технологической практике;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своевременная, аргументированная и обоснованная защита отчета по практи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ке;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>- получение зачета с оценкой.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</w:tr>
    </w:tbl>
    <w:p w:rsidR="00000000" w:rsidRDefault="00285B9B">
      <w:pPr>
        <w:spacing w:before="24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1.3 Типовые контрольные задания или иные материалы, необходимые для оценки знаний, умений, навыков и (или) опыта деятельности по результатам прохождения практики</w:t>
      </w:r>
    </w:p>
    <w:tbl>
      <w:tblPr>
        <w:tblStyle w:val="a8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82"/>
        <w:gridCol w:w="1731"/>
        <w:gridCol w:w="7258"/>
      </w:tblGrid>
      <w:tr w:rsidR="00000000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№</w:t>
            </w:r>
          </w:p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п.п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Аббревиатура компетенций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Оценочные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средства</w:t>
            </w:r>
          </w:p>
        </w:tc>
      </w:tr>
      <w:tr w:rsidR="0000000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ПКС-9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5B9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- Представление дневника практики.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Представление отчета по практике.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br/>
              <w:t xml:space="preserve">- Защита отчета по практике (зачет с оценкой). </w:t>
            </w:r>
          </w:p>
        </w:tc>
      </w:tr>
    </w:tbl>
    <w:p w:rsidR="00000000" w:rsidRDefault="00285B9B">
      <w:pPr>
        <w:spacing w:before="24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1.4 Методические материалы, определяющие процедуры оценивания знаний, умений, </w:t>
      </w:r>
      <w:r>
        <w:rPr>
          <w:rFonts w:ascii="Times New Roman" w:hAnsi="Times New Roman" w:cs="Times New Roman"/>
          <w:b/>
          <w:noProof/>
          <w:sz w:val="24"/>
          <w:szCs w:val="24"/>
        </w:rPr>
        <w:t>навыков и (или) опыта деятельности</w:t>
      </w:r>
    </w:p>
    <w:p w:rsidR="00000000" w:rsidRDefault="00285B9B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tbl>
      <w:tblPr>
        <w:tblStyle w:val="a8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000000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85B9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Представление дневника практики</w:t>
            </w:r>
          </w:p>
        </w:tc>
      </w:tr>
      <w:tr w:rsidR="00000000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85B9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Представление отчета по практике </w:t>
            </w:r>
          </w:p>
        </w:tc>
      </w:tr>
      <w:tr w:rsidR="00000000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85B9B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Защита отчета по практике (зачет с оценкой).</w:t>
            </w:r>
          </w:p>
        </w:tc>
      </w:tr>
    </w:tbl>
    <w:p w:rsidR="00000000" w:rsidRDefault="00285B9B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8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000000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85B9B">
            <w:pPr>
              <w:spacing w:before="240" w:after="0" w:line="240" w:lineRule="auto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1.4.1 Представление дневника практики</w:t>
            </w:r>
          </w:p>
          <w:p w:rsidR="00000000" w:rsidRDefault="00285B9B">
            <w:pPr>
              <w:spacing w:before="24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окончании практики отчеты с прилагаемыми к нему документами (если это предусматривалось индивидуальным заданием на практику) представляются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руководителю практикой от кафедры, который проверяет соответствие выполненных и отраженных в отчете действий индивидуальному заданию, а также соответствие требованиям по оформлению.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В дневнике практики указываются основные результаты деятельности студента,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выполняемые задачи и выводы практики.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По окончанию практики преподаватель или руководитель в дневнике пишет заключение и отзыв о работе студента, которые также влияют на итоговую оценку.</w:t>
            </w:r>
          </w:p>
        </w:tc>
      </w:tr>
      <w:tr w:rsidR="00000000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85B9B">
            <w:pPr>
              <w:spacing w:before="240" w:after="0" w:line="240" w:lineRule="auto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1.4.2 Представление отчета по практике </w:t>
            </w:r>
          </w:p>
          <w:p w:rsidR="00000000" w:rsidRDefault="00285B9B">
            <w:pPr>
              <w:spacing w:before="24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Отчет по практике состав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ляется в течение всего периода выполнения работы.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Ведение отчета по педагогической практике, а также соблюдение требований к его оформлению проверяются руководителем студента.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Отчет по педагогической практике после окончания ее выполнения подписываются об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учающимся и научным руководителем и представляются на кафедру в течение пяти рабочих дней с момента окончания педагогической практике.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К отчету по педагогической практике прилагаются документы, подтверждающие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выполнение индивидуального задания на выполнени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 педагогической практике.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оценивании отчета по педагогической практике ее руководитель проверяет соответствие требованиям по оформлению и соответствие содержания индивидуальному заданию на выполнение педагогической практике.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В отчете студент указывае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 цель практики, задачи поставленные преподавателем, методы решения этих задач.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наличии ошибок по содержанию и оформлению отчета по педагогической практике руководитель возвращает отчет по педагогической практике обучающемуся для его доработки. Выявле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нные недостатки и задача по их устранению формулируется четко и ясно, с указанием конкретного срока для устранения. </w:t>
            </w:r>
          </w:p>
        </w:tc>
      </w:tr>
      <w:tr w:rsidR="00000000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85B9B">
            <w:pPr>
              <w:spacing w:before="240" w:after="0" w:line="240" w:lineRule="auto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1.4.3 Защита отчета по практике (зачет с оценкой).</w:t>
            </w:r>
          </w:p>
          <w:p w:rsidR="00000000" w:rsidRDefault="00285B9B">
            <w:pPr>
              <w:spacing w:before="24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Аттестация по Практике по получению профессиональных умений и опыта профессиональной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деятельности (технологическая практика) завершает изучение курса и проходит в виде защиты отчета по практике (устный опрос о проведенных на практике лабораторных работах). Защита проводится после проведения всех испытаний, обработки измерений, написание 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татей, дневника практики и отчета по практике. До защиты не допускаются студенты нарушавшие трудовую дисциплину (пропуск более 3 дней и т.д.) и нарушавшие правила техники безопасности на лабораторных работах.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прохождении защиты не разрешается пользоват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ься телефоном, конспектами лекций, учебниками и иной учебной литературой. При ответе на практические вопросы разрешается использовать лабораторные журналы и данные из отчета по практике.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В случае неудовлетворительного результата защиты назначается день и 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ремя повторной сдачи. </w:t>
            </w:r>
          </w:p>
        </w:tc>
      </w:tr>
    </w:tbl>
    <w:p w:rsidR="00000000" w:rsidRDefault="00285B9B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1.5 Шкалы оценивания результатов обучения</w:t>
      </w:r>
    </w:p>
    <w:tbl>
      <w:tblPr>
        <w:tblStyle w:val="a8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000000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85B9B">
            <w:pPr>
              <w:spacing w:before="240" w:after="0" w:line="240" w:lineRule="auto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1.5.1 Оценивание результатов устных и письменных опросов в процессе прохождения практики и на зачете с оценкой по завершении практики</w:t>
            </w:r>
          </w:p>
          <w:p w:rsidR="00000000" w:rsidRDefault="00285B9B">
            <w:pPr>
              <w:spacing w:before="24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Уровень знаний определяется оценками «отлично», «хоро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шо», «удовлетворительно», «неудовлетворительно».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За каждый ответ, в отдельности, выставляется оценка. Итоговая оценка представляет из себя среднее арифметическое из выставленных с округлением в большую сторону.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Оценка «отлично» - правильный (без ошибок) 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последовательный ответ на вопрос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Оценка «хорошо» - допущена одна негрубая ошибка или два, три недочета.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Оценка «удовлетворительно» - в ответах на вопросы имеется одна грубая ошибка и не более одной негрубой ошибки или грубые ошибки отсутствуют, но допущен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 две и более негрубых ошибок.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Оценка «неудовлетворительно» выставляется в случае, когда количество неправильных ответов превышает количество допустимых для положительной оценки. </w:t>
            </w:r>
          </w:p>
        </w:tc>
      </w:tr>
      <w:tr w:rsidR="00000000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85B9B">
            <w:pPr>
              <w:spacing w:before="240" w:after="0" w:line="240" w:lineRule="auto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1.5.2 Оценивание составления дневника прохождения практики</w:t>
            </w:r>
          </w:p>
          <w:p w:rsidR="00000000" w:rsidRDefault="00285B9B">
            <w:pPr>
              <w:spacing w:before="24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дневника практики определена как типовая отделом производственного обучения Учебно-методического управления университета. Требования к ведению дневника практики формулируются кафедрой «Строительные материалы и технологии» и представляются студентам до нача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ла практики.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В период прохождения практики руководитель практики от кафедры регулярно проверяет ведение студентом дневника практики.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По окончанию практики дневники представляются руководителю практикой от кафедры, который проверяет соответствие выполненн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ых и отраженных в дневнике действий, 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также соответствие требованиям по оформлению.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Если в дневнике практике полностью отражены все проведенные виды работ практики и дневник оформлен согласно требованиям, то дневник вкладывается в отчет по практике. В пр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отивном случае студенты дооформляют дневник. </w:t>
            </w:r>
          </w:p>
        </w:tc>
      </w:tr>
      <w:tr w:rsidR="00000000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285B9B">
            <w:pPr>
              <w:spacing w:before="240" w:after="0" w:line="240" w:lineRule="auto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1.5.3 Оценивание отчета по практике</w:t>
            </w:r>
          </w:p>
          <w:p w:rsidR="00000000" w:rsidRDefault="00285B9B">
            <w:pPr>
              <w:spacing w:before="240"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Форма отчета о практике и требования к его оформлению формулируются выпускающей кафедрой «Строительные материалы и технологии» и представляются студентам до начала практи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По окончанию практики отчеты с прилагаемыми к нему документами (лабораторные журналы) представляются руководителю практикой от кафедры, который проверяет соответствие выполненных заданий по программе практики, а также соответствие требованиям по оформ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лению.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Форма титульного листа отчета о практике (см. прил. 1).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Структура отчета по практике: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1. Титульный лист.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2. Содержание.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3. Дневник практики.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4. Подробное описание проведенных видов работ (текстовая часть, лабораторные журналы).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4.1. Постановка зада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4.2. Обзорная часть.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4.3. Выбор методов решения задачи.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4.4. Описание проведенной работы.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4.5. Обработка данных.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5. Анализ данных и выводы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6. Литература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Отчет (текстовая часть) должен быть распечатан на листах формата А4 (шрифт – Times New Roman, высо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 шрифта - 12 тп, межстрочный интервал – 1,0, отступ абзаца – 1 см, заголовки – полужирный шрифт, текст – обычный шрифт). </w:t>
            </w:r>
          </w:p>
        </w:tc>
      </w:tr>
    </w:tbl>
    <w:p w:rsidR="00285B9B" w:rsidRDefault="00285B9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85B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8E"/>
    <w:rsid w:val="00285B9B"/>
    <w:rsid w:val="00AA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Джагарян Игорь Григорьевич</cp:lastModifiedBy>
  <cp:revision>2</cp:revision>
  <dcterms:created xsi:type="dcterms:W3CDTF">2022-01-24T10:57:00Z</dcterms:created>
  <dcterms:modified xsi:type="dcterms:W3CDTF">2022-01-24T10:57:00Z</dcterms:modified>
</cp:coreProperties>
</file>