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C194E" w14:textId="77777777" w:rsidR="007B79AD" w:rsidRPr="007B79AD" w:rsidRDefault="007B79AD" w:rsidP="007B79A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79A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5A53D0C7" w14:textId="77777777" w:rsidR="007B79AD" w:rsidRPr="007B79AD" w:rsidRDefault="007B79AD" w:rsidP="007B79AD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79AD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C7D3D7B" w14:textId="7264FC46" w:rsidR="007B79AD" w:rsidRPr="007B79AD" w:rsidRDefault="007B79AD" w:rsidP="007B79AD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79AD">
        <w:rPr>
          <w:rFonts w:ascii="Times New Roman" w:hAnsi="Times New Roman"/>
          <w:b/>
          <w:sz w:val="28"/>
          <w:szCs w:val="28"/>
        </w:rPr>
        <w:br/>
        <w:t>«</w:t>
      </w:r>
      <w:r>
        <w:rPr>
          <w:rFonts w:ascii="Times New Roman" w:hAnsi="Times New Roman"/>
          <w:b/>
          <w:sz w:val="28"/>
          <w:szCs w:val="28"/>
        </w:rPr>
        <w:t>Технология саморазвития</w:t>
      </w:r>
      <w:r w:rsidRPr="007B79AD">
        <w:rPr>
          <w:rFonts w:ascii="Times New Roman" w:hAnsi="Times New Roman"/>
          <w:b/>
          <w:sz w:val="28"/>
          <w:szCs w:val="28"/>
        </w:rPr>
        <w:t>»</w:t>
      </w:r>
    </w:p>
    <w:p w14:paraId="4BAC73B2" w14:textId="77777777" w:rsidR="007B79AD" w:rsidRPr="007B79AD" w:rsidRDefault="007B79AD" w:rsidP="007B79A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1DF4F9A" w14:textId="77777777" w:rsidR="007B79AD" w:rsidRPr="007B79AD" w:rsidRDefault="007B79AD" w:rsidP="007B79A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79AD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14:paraId="5EFD9BEA" w14:textId="77777777" w:rsidR="007B79AD" w:rsidRPr="007B79AD" w:rsidRDefault="007B79AD" w:rsidP="007B79A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2533919" w14:textId="77777777" w:rsidR="007B79AD" w:rsidRPr="007B79AD" w:rsidRDefault="007B79AD" w:rsidP="007B79A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B79AD">
        <w:rPr>
          <w:rFonts w:ascii="Times New Roman" w:hAnsi="Times New Roman"/>
          <w:sz w:val="28"/>
          <w:szCs w:val="28"/>
        </w:rPr>
        <w:t xml:space="preserve">Примерный перечень вопросов </w:t>
      </w:r>
    </w:p>
    <w:p w14:paraId="3F563B85" w14:textId="735F6484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Определение критики. Деструктивная и конструктивная критика. Влияние на объект критики.</w:t>
      </w:r>
    </w:p>
    <w:p w14:paraId="6A3636A1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u w:val="single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 xml:space="preserve">Виды критики. </w:t>
      </w:r>
    </w:p>
    <w:p w14:paraId="3CDAAC1C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u w:val="single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Признаки деструктивной критики.</w:t>
      </w:r>
    </w:p>
    <w:p w14:paraId="2C097E0C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u w:val="single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 xml:space="preserve">Признаки конструктивной критики. </w:t>
      </w:r>
    </w:p>
    <w:p w14:paraId="03355DF7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Эффективные технологии работы с критикой в деловом общении.</w:t>
      </w:r>
    </w:p>
    <w:p w14:paraId="31628AC6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Алгоритм отработки негативной обратной связи с позиции объекта.</w:t>
      </w:r>
    </w:p>
    <w:p w14:paraId="2C7290B2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Правила обратной связи при рассмотрении ошибок и негативных результатов.</w:t>
      </w:r>
    </w:p>
    <w:p w14:paraId="4225C113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 xml:space="preserve"> Развивающая обратная связь: цели, задачи, влияние на объект.</w:t>
      </w:r>
    </w:p>
    <w:p w14:paraId="3D6CC986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Типы конфликтов в деловой коммуникации.</w:t>
      </w:r>
    </w:p>
    <w:p w14:paraId="117BE86F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 xml:space="preserve"> Функции конфликтов в деловом общении.</w:t>
      </w:r>
    </w:p>
    <w:p w14:paraId="59909A21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Стратегии поведения в конфликте.</w:t>
      </w:r>
    </w:p>
    <w:p w14:paraId="1B75B97C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Внутренний конфликт: причины.</w:t>
      </w:r>
    </w:p>
    <w:p w14:paraId="0E598731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Теории мотивации.</w:t>
      </w:r>
    </w:p>
    <w:p w14:paraId="1BA41EAC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Типы мотивов.</w:t>
      </w:r>
    </w:p>
    <w:p w14:paraId="023964FC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Ценностные фильтры. Доминантная ценность как медиатор достижения результата.</w:t>
      </w:r>
    </w:p>
    <w:p w14:paraId="6EE3C95F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proofErr w:type="spellStart"/>
      <w:r w:rsidRPr="007B79AD">
        <w:rPr>
          <w:rFonts w:ascii="Times New Roman" w:hAnsi="Times New Roman"/>
          <w:sz w:val="28"/>
          <w:szCs w:val="24"/>
          <w:lang w:eastAsia="ru-RU"/>
        </w:rPr>
        <w:t>Потребностные</w:t>
      </w:r>
      <w:proofErr w:type="spellEnd"/>
      <w:r w:rsidRPr="007B79AD">
        <w:rPr>
          <w:rFonts w:ascii="Times New Roman" w:hAnsi="Times New Roman"/>
          <w:sz w:val="28"/>
          <w:szCs w:val="24"/>
          <w:lang w:eastAsia="ru-RU"/>
        </w:rPr>
        <w:t xml:space="preserve"> факторы: «хочу», «могу», «надо», «выгодно».</w:t>
      </w:r>
    </w:p>
    <w:p w14:paraId="33B139B3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Функциональный компонент системы навыков персональной эффективности.</w:t>
      </w:r>
    </w:p>
    <w:p w14:paraId="30FF6012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Идеальный ценностный фильтр как медиатор</w:t>
      </w:r>
    </w:p>
    <w:p w14:paraId="5015566C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Базовый ценностный фильтр</w:t>
      </w:r>
    </w:p>
    <w:p w14:paraId="5DA15CCD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Актуальный ценностный фильтр</w:t>
      </w:r>
    </w:p>
    <w:p w14:paraId="12721013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Основные принципы целеполагания.</w:t>
      </w:r>
    </w:p>
    <w:p w14:paraId="3CDF5616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Основные принципы планирования.</w:t>
      </w:r>
    </w:p>
    <w:p w14:paraId="5EF651C6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 xml:space="preserve">Основные принципы </w:t>
      </w:r>
      <w:proofErr w:type="spellStart"/>
      <w:r w:rsidRPr="007B79AD">
        <w:rPr>
          <w:rFonts w:ascii="Times New Roman" w:hAnsi="Times New Roman"/>
          <w:sz w:val="28"/>
          <w:szCs w:val="24"/>
          <w:lang w:eastAsia="ru-RU"/>
        </w:rPr>
        <w:t>таймменеджмента</w:t>
      </w:r>
      <w:proofErr w:type="spellEnd"/>
      <w:r w:rsidRPr="007B79AD">
        <w:rPr>
          <w:rFonts w:ascii="Times New Roman" w:hAnsi="Times New Roman"/>
          <w:sz w:val="28"/>
          <w:szCs w:val="24"/>
          <w:lang w:eastAsia="ru-RU"/>
        </w:rPr>
        <w:t>.</w:t>
      </w:r>
    </w:p>
    <w:p w14:paraId="2AABF338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 xml:space="preserve">Принцип </w:t>
      </w:r>
      <w:proofErr w:type="spellStart"/>
      <w:r w:rsidRPr="007B79AD">
        <w:rPr>
          <w:rFonts w:ascii="Times New Roman" w:hAnsi="Times New Roman"/>
          <w:sz w:val="28"/>
          <w:szCs w:val="24"/>
          <w:lang w:eastAsia="ru-RU"/>
        </w:rPr>
        <w:t>приоритизации</w:t>
      </w:r>
      <w:proofErr w:type="spellEnd"/>
      <w:r w:rsidRPr="007B79AD">
        <w:rPr>
          <w:rFonts w:ascii="Times New Roman" w:hAnsi="Times New Roman"/>
          <w:sz w:val="28"/>
          <w:szCs w:val="24"/>
          <w:lang w:eastAsia="ru-RU"/>
        </w:rPr>
        <w:t xml:space="preserve"> в управленческой деятельности.</w:t>
      </w:r>
    </w:p>
    <w:p w14:paraId="219E8077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 xml:space="preserve">Принцип Парето как универсальный инструмент </w:t>
      </w:r>
      <w:proofErr w:type="spellStart"/>
      <w:r w:rsidRPr="007B79AD">
        <w:rPr>
          <w:rFonts w:ascii="Times New Roman" w:hAnsi="Times New Roman"/>
          <w:sz w:val="28"/>
          <w:szCs w:val="24"/>
          <w:lang w:eastAsia="ru-RU"/>
        </w:rPr>
        <w:t>приоритизации</w:t>
      </w:r>
      <w:proofErr w:type="spellEnd"/>
      <w:r w:rsidRPr="007B79AD">
        <w:rPr>
          <w:rFonts w:ascii="Times New Roman" w:hAnsi="Times New Roman"/>
          <w:sz w:val="28"/>
          <w:szCs w:val="24"/>
          <w:lang w:eastAsia="ru-RU"/>
        </w:rPr>
        <w:t>.</w:t>
      </w:r>
    </w:p>
    <w:p w14:paraId="58B315E4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Матрица Эйзенхауэра как инструмент управления задачами.</w:t>
      </w:r>
    </w:p>
    <w:p w14:paraId="695BC2AA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lastRenderedPageBreak/>
        <w:t>Анализ АБВ в планировании.</w:t>
      </w:r>
    </w:p>
    <w:p w14:paraId="0047D0BF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 xml:space="preserve">Популярные системы </w:t>
      </w:r>
      <w:proofErr w:type="spellStart"/>
      <w:r w:rsidRPr="007B79AD">
        <w:rPr>
          <w:rFonts w:ascii="Times New Roman" w:hAnsi="Times New Roman"/>
          <w:sz w:val="28"/>
          <w:szCs w:val="24"/>
          <w:lang w:eastAsia="ru-RU"/>
        </w:rPr>
        <w:t>таймменеджмента</w:t>
      </w:r>
      <w:proofErr w:type="spellEnd"/>
      <w:r w:rsidRPr="007B79AD">
        <w:rPr>
          <w:rFonts w:ascii="Times New Roman" w:hAnsi="Times New Roman"/>
          <w:sz w:val="28"/>
          <w:szCs w:val="24"/>
          <w:lang w:eastAsia="ru-RU"/>
        </w:rPr>
        <w:t>.</w:t>
      </w:r>
    </w:p>
    <w:p w14:paraId="5E1FF2D2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Критерии эффективности цели.</w:t>
      </w:r>
    </w:p>
    <w:p w14:paraId="0AB34E6A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 xml:space="preserve">Принцип </w:t>
      </w:r>
      <w:proofErr w:type="spellStart"/>
      <w:r w:rsidRPr="007B79AD">
        <w:rPr>
          <w:rFonts w:ascii="Times New Roman" w:hAnsi="Times New Roman"/>
          <w:sz w:val="28"/>
          <w:szCs w:val="24"/>
          <w:lang w:eastAsia="ru-RU"/>
        </w:rPr>
        <w:t>экологичности</w:t>
      </w:r>
      <w:proofErr w:type="spellEnd"/>
      <w:r w:rsidRPr="007B79AD">
        <w:rPr>
          <w:rFonts w:ascii="Times New Roman" w:hAnsi="Times New Roman"/>
          <w:sz w:val="28"/>
          <w:szCs w:val="24"/>
          <w:lang w:eastAsia="ru-RU"/>
        </w:rPr>
        <w:t xml:space="preserve"> в целеполагании.</w:t>
      </w:r>
    </w:p>
    <w:p w14:paraId="1BD3FE7E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Ресурсный анализ как техника саморазвития</w:t>
      </w:r>
    </w:p>
    <w:p w14:paraId="2ED6F447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Эффективные персональные сценарии (сценарии успеха).</w:t>
      </w:r>
    </w:p>
    <w:p w14:paraId="07660CBB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Способы психологической разгрузки.</w:t>
      </w:r>
    </w:p>
    <w:p w14:paraId="7103199A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Психогигиена и саморазгрузка.</w:t>
      </w:r>
    </w:p>
    <w:p w14:paraId="1EFA2794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Коммуникационный компонент системы навыков личной эффективности.</w:t>
      </w:r>
    </w:p>
    <w:p w14:paraId="7DCD0B57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Репрезентативные каналы восприятия.</w:t>
      </w:r>
    </w:p>
    <w:p w14:paraId="3E38F9BF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Основные правила организации и  проведения совещаний.</w:t>
      </w:r>
    </w:p>
    <w:p w14:paraId="2AD1F904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Работа с возражениями в деловом общении.</w:t>
      </w:r>
    </w:p>
    <w:p w14:paraId="544AE61E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Алгоритм отработки возражения.</w:t>
      </w:r>
    </w:p>
    <w:p w14:paraId="586AFAAB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Типы возражений.</w:t>
      </w:r>
    </w:p>
    <w:p w14:paraId="1B1F4FEF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Цель работы с возражениями.</w:t>
      </w:r>
    </w:p>
    <w:p w14:paraId="1B4A4730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Вопросные техники в переговорах.</w:t>
      </w:r>
    </w:p>
    <w:p w14:paraId="0B99BB3B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Типы вопросов.</w:t>
      </w:r>
    </w:p>
    <w:p w14:paraId="23B08227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Социальный сценарий как основа взаимодействия с окружающими.</w:t>
      </w:r>
    </w:p>
    <w:p w14:paraId="457DE317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Стратегии взаимодействия.</w:t>
      </w:r>
    </w:p>
    <w:p w14:paraId="097DC9CB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Роль коммуникации в деловом общении.</w:t>
      </w:r>
    </w:p>
    <w:p w14:paraId="39B31B75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>Деловая репутация и имидж.</w:t>
      </w:r>
    </w:p>
    <w:p w14:paraId="27311F83" w14:textId="77777777" w:rsidR="007B79AD" w:rsidRPr="007B79AD" w:rsidRDefault="007B79AD" w:rsidP="007B79AD">
      <w:pPr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7B79AD">
        <w:rPr>
          <w:rFonts w:ascii="Times New Roman" w:hAnsi="Times New Roman"/>
          <w:sz w:val="28"/>
          <w:szCs w:val="24"/>
          <w:lang w:eastAsia="ru-RU"/>
        </w:rPr>
        <w:t xml:space="preserve"> Методики изучения компетентности в общении.</w:t>
      </w:r>
      <w:bookmarkStart w:id="0" w:name="_GoBack"/>
      <w:bookmarkEnd w:id="0"/>
    </w:p>
    <w:sectPr w:rsidR="007B79AD" w:rsidRPr="007B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5388"/>
    <w:multiLevelType w:val="hybridMultilevel"/>
    <w:tmpl w:val="2982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D16B2"/>
    <w:multiLevelType w:val="hybridMultilevel"/>
    <w:tmpl w:val="50C6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358F6"/>
    <w:multiLevelType w:val="hybridMultilevel"/>
    <w:tmpl w:val="A3F6B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415A5"/>
    <w:multiLevelType w:val="hybridMultilevel"/>
    <w:tmpl w:val="9C6A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B"/>
    <w:rsid w:val="000276EB"/>
    <w:rsid w:val="00166352"/>
    <w:rsid w:val="003D6256"/>
    <w:rsid w:val="007B79AD"/>
    <w:rsid w:val="008F48EB"/>
    <w:rsid w:val="00CE0A88"/>
    <w:rsid w:val="00DF06C0"/>
    <w:rsid w:val="00EC54F9"/>
    <w:rsid w:val="00F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5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Воробьева Виктория Георгиевна</cp:lastModifiedBy>
  <cp:revision>4</cp:revision>
  <dcterms:created xsi:type="dcterms:W3CDTF">2021-06-22T16:23:00Z</dcterms:created>
  <dcterms:modified xsi:type="dcterms:W3CDTF">2022-05-29T19:29:00Z</dcterms:modified>
</cp:coreProperties>
</file>