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E1A" w14:textId="77777777"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  <w:r w:rsidRPr="00AC050A">
        <w:rPr>
          <w:b/>
          <w:bCs/>
          <w:sz w:val="28"/>
          <w:szCs w:val="28"/>
        </w:rPr>
        <w:t>Примерные оценочные материалы, применяемые при проведении</w:t>
      </w:r>
    </w:p>
    <w:p w14:paraId="5EABBED7" w14:textId="77777777" w:rsidR="008B6063" w:rsidRDefault="008B6063" w:rsidP="008B6063">
      <w:pPr>
        <w:pStyle w:val="Default"/>
        <w:jc w:val="center"/>
        <w:rPr>
          <w:b/>
          <w:bCs/>
          <w:sz w:val="28"/>
          <w:szCs w:val="28"/>
        </w:rPr>
      </w:pPr>
      <w:r w:rsidRPr="00AC050A">
        <w:rPr>
          <w:b/>
          <w:bCs/>
          <w:sz w:val="28"/>
          <w:szCs w:val="28"/>
        </w:rPr>
        <w:t>промежуточной аттестации по дисциплине (модулю)</w:t>
      </w:r>
    </w:p>
    <w:p w14:paraId="7DC529C6" w14:textId="77777777" w:rsidR="005B59DB" w:rsidRPr="00AC050A" w:rsidRDefault="005B59DB" w:rsidP="008B6063">
      <w:pPr>
        <w:pStyle w:val="Default"/>
        <w:jc w:val="center"/>
        <w:rPr>
          <w:sz w:val="28"/>
          <w:szCs w:val="28"/>
        </w:rPr>
      </w:pPr>
    </w:p>
    <w:p w14:paraId="0FE091CF" w14:textId="77777777" w:rsidR="008B6063" w:rsidRPr="00DC2D31" w:rsidRDefault="008B6063" w:rsidP="00DC2D31">
      <w:pPr>
        <w:pStyle w:val="10"/>
        <w:spacing w:line="276" w:lineRule="auto"/>
        <w:jc w:val="center"/>
        <w:rPr>
          <w:b/>
          <w:noProof/>
          <w:lang w:val="ru-RU"/>
        </w:rPr>
      </w:pPr>
      <w:r w:rsidRPr="00DC2D31">
        <w:rPr>
          <w:b/>
          <w:bCs/>
          <w:lang w:val="ru-RU"/>
        </w:rPr>
        <w:t>«</w:t>
      </w:r>
      <w:r w:rsidR="00DC2D31" w:rsidRPr="003F6205">
        <w:rPr>
          <w:b/>
          <w:caps w:val="0"/>
          <w:noProof/>
          <w:lang w:val="ru-RU"/>
        </w:rPr>
        <w:t>Управление качеством в международных перевозках грузов</w:t>
      </w:r>
      <w:r w:rsidRPr="00DC2D31">
        <w:rPr>
          <w:b/>
          <w:bCs/>
          <w:lang w:val="ru-RU"/>
        </w:rPr>
        <w:t>»</w:t>
      </w:r>
    </w:p>
    <w:p w14:paraId="354675DC" w14:textId="77777777" w:rsidR="005B59DB" w:rsidRPr="00AC050A" w:rsidRDefault="005B59DB" w:rsidP="00C31194">
      <w:pPr>
        <w:pStyle w:val="Default"/>
        <w:jc w:val="center"/>
        <w:rPr>
          <w:b/>
          <w:sz w:val="28"/>
          <w:szCs w:val="28"/>
        </w:rPr>
      </w:pPr>
    </w:p>
    <w:p w14:paraId="6B245395" w14:textId="77777777"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  <w:r w:rsidRPr="00AC050A">
        <w:rPr>
          <w:sz w:val="28"/>
          <w:szCs w:val="28"/>
        </w:rPr>
        <w:t xml:space="preserve">При проведении промежуточной аттестации обучающемуся </w:t>
      </w:r>
      <w:r w:rsidR="005B59DB">
        <w:rPr>
          <w:sz w:val="28"/>
          <w:szCs w:val="28"/>
        </w:rPr>
        <w:t xml:space="preserve">предлагается дать ответы на </w:t>
      </w:r>
      <w:r w:rsidR="00AC050A">
        <w:rPr>
          <w:sz w:val="28"/>
          <w:szCs w:val="28"/>
        </w:rPr>
        <w:t xml:space="preserve">два </w:t>
      </w:r>
      <w:r w:rsidRPr="00AC050A">
        <w:rPr>
          <w:sz w:val="28"/>
          <w:szCs w:val="28"/>
        </w:rPr>
        <w:t>вопроса</w:t>
      </w:r>
      <w:r w:rsidR="00C31194" w:rsidRPr="00AC050A">
        <w:rPr>
          <w:sz w:val="28"/>
          <w:szCs w:val="28"/>
        </w:rPr>
        <w:t xml:space="preserve"> </w:t>
      </w:r>
      <w:r w:rsidRPr="00AC050A">
        <w:rPr>
          <w:sz w:val="28"/>
          <w:szCs w:val="28"/>
        </w:rPr>
        <w:t>из нижеприведенного списка.</w:t>
      </w:r>
    </w:p>
    <w:p w14:paraId="6BA77316" w14:textId="77777777"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</w:p>
    <w:p w14:paraId="11F70BDB" w14:textId="77777777" w:rsidR="00133994" w:rsidRDefault="008B6063" w:rsidP="008B6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14:paraId="26A7B5E9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>Понятие качества транспортной услуги.</w:t>
      </w:r>
    </w:p>
    <w:p w14:paraId="0AFA7EAB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Основные стандарты качества. </w:t>
      </w:r>
    </w:p>
    <w:p w14:paraId="46DA237D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Надежность транспортного обслуживания.  </w:t>
      </w:r>
    </w:p>
    <w:p w14:paraId="3990432F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4.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>Качество как объект управления.</w:t>
      </w:r>
    </w:p>
    <w:p w14:paraId="6E6E3491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5.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Принципы системы менеджмента качества (СМК). </w:t>
      </w:r>
    </w:p>
    <w:p w14:paraId="14E39E5B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6.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>Процессный подход как основополагающий принцип системы менеджмента качества.</w:t>
      </w:r>
    </w:p>
    <w:p w14:paraId="7B3ED050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7.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>Модель системы менеджмента качества.</w:t>
      </w:r>
    </w:p>
    <w:p w14:paraId="33CA834D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8.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Системный процессный подход к управлению качеством.  </w:t>
      </w:r>
    </w:p>
    <w:p w14:paraId="7B1BECB9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9.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Стратегии для  управления  моделью  системы  менеджмента  качества.  </w:t>
      </w:r>
    </w:p>
    <w:p w14:paraId="7955678B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10.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Международные  транспортные коридоры (МТК) в условиях расширения международного сотрудничества. </w:t>
      </w:r>
    </w:p>
    <w:p w14:paraId="5C7246E4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11.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Понятие Международный транспортный коридор (МТК).   </w:t>
      </w:r>
    </w:p>
    <w:p w14:paraId="27167B5C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12.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Система Международных транспортных коридоров. </w:t>
      </w:r>
    </w:p>
    <w:p w14:paraId="24874CCB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13.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Наиболее значимые МТК для России. </w:t>
      </w:r>
    </w:p>
    <w:p w14:paraId="7599CF73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14.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Важность участия России в формировании МТК.  </w:t>
      </w:r>
    </w:p>
    <w:p w14:paraId="28B86876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15.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Действующая система регламентации и оценки качества услуг.  </w:t>
      </w:r>
    </w:p>
    <w:p w14:paraId="458C501B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16.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Область и цели применения методики оценки удовлетворенности потребителей услуг в области грузовых перевозок ОАО «РЖД».  </w:t>
      </w:r>
    </w:p>
    <w:p w14:paraId="32EA0276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17.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Контуры внешней и внутренней клиентоориентированности ЦФТО в сегменте обеспечения качества базовой услуги.    </w:t>
      </w:r>
    </w:p>
    <w:p w14:paraId="566D3CDC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18.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Факторы, определяющие качество выполнения обязательств по перевозке грузов.    </w:t>
      </w:r>
    </w:p>
    <w:p w14:paraId="37C4B584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lastRenderedPageBreak/>
        <w:t>19.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Направления решения задачи повышения качества, действующие в ЦФТО ОАО «РЖД».   </w:t>
      </w:r>
    </w:p>
    <w:p w14:paraId="10744A85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20.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Переход на новый уровень внутренней и внешней клиентоориентированности в ОАО «РЖД».   </w:t>
      </w:r>
    </w:p>
    <w:p w14:paraId="585B8151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21.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Последовательность действий по стандартизации качества услуг в сфере грузовых перевозок.   </w:t>
      </w:r>
    </w:p>
    <w:p w14:paraId="497CF8AF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22.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Система всеобщего менеджмента качества  (Total Quality Management - TQM). </w:t>
      </w:r>
    </w:p>
    <w:p w14:paraId="5A5D3FDE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23.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Вовлечение всех сотрудников и их соответствующая подготовка в TQM.  </w:t>
      </w:r>
    </w:p>
    <w:p w14:paraId="46680FE0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24.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Инструменты системы менеджмента качества.   </w:t>
      </w:r>
    </w:p>
    <w:p w14:paraId="2135D141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25.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Диаграмма  Исикавы.  </w:t>
      </w:r>
    </w:p>
    <w:p w14:paraId="28A96C07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26.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Формат корректирующих действий, метод «5W+1 Н-1S».   </w:t>
      </w:r>
    </w:p>
    <w:p w14:paraId="06A211FA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27.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Методика анализа качества транспортных услуг при грузовых железнодорожных перевозках применительно к ОАО «РЖД».  </w:t>
      </w:r>
    </w:p>
    <w:p w14:paraId="12985799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28.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Схема информационных потоков Методики анализа качества транспортных услуг при грузовых  перевозках.   </w:t>
      </w:r>
    </w:p>
    <w:p w14:paraId="79654FC3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29.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Формирование и ведение модели нарушений качества оказания транспортных услуг при грузовых перевозках.  </w:t>
      </w:r>
    </w:p>
    <w:p w14:paraId="3EB1DB1C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30.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Анализ качества транспортных услуг при грузовых перевозках.  </w:t>
      </w:r>
    </w:p>
    <w:p w14:paraId="482F90F8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31.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Показатели потребительского качества грузовых перевозок.   </w:t>
      </w:r>
    </w:p>
    <w:p w14:paraId="63D96517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32.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Сохранность перевозимых грузов. </w:t>
      </w:r>
    </w:p>
    <w:p w14:paraId="26080BE2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33.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Ритмичность перевозок. </w:t>
      </w:r>
    </w:p>
    <w:p w14:paraId="1DBC9F7E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34.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Комплексность перевозок. </w:t>
      </w:r>
    </w:p>
    <w:p w14:paraId="683F55B3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35.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Полнота удовлетворения спроса на перевозки. </w:t>
      </w:r>
    </w:p>
    <w:p w14:paraId="60C7A551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36.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Экологичность транспортных процессов.  </w:t>
      </w:r>
    </w:p>
    <w:p w14:paraId="661E06D7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37.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Транспортная обеспеченность территории. </w:t>
      </w:r>
    </w:p>
    <w:p w14:paraId="28F94DF5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38.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Транспортная доступность пользователей. </w:t>
      </w:r>
    </w:p>
    <w:p w14:paraId="7F308066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39.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Методы решения проблем. Метод «8 шагов».  </w:t>
      </w:r>
    </w:p>
    <w:p w14:paraId="02BAC571" w14:textId="77777777" w:rsidR="00A83C2F" w:rsidRPr="00A83C2F" w:rsidRDefault="00A83C2F" w:rsidP="00A83C2F">
      <w:pPr>
        <w:rPr>
          <w:rFonts w:ascii="Times New Roman" w:hAnsi="Times New Roman" w:cs="Times New Roman"/>
          <w:noProof/>
          <w:sz w:val="28"/>
          <w:szCs w:val="24"/>
        </w:rPr>
      </w:pPr>
      <w:r w:rsidRPr="00A83C2F">
        <w:rPr>
          <w:rFonts w:ascii="Times New Roman" w:hAnsi="Times New Roman" w:cs="Times New Roman"/>
          <w:noProof/>
          <w:sz w:val="28"/>
          <w:szCs w:val="24"/>
        </w:rPr>
        <w:t>40.</w:t>
      </w:r>
      <w:r w:rsidRPr="00A83C2F">
        <w:rPr>
          <w:rFonts w:ascii="Times New Roman" w:hAnsi="Times New Roman" w:cs="Times New Roman"/>
          <w:noProof/>
          <w:sz w:val="28"/>
          <w:szCs w:val="24"/>
        </w:rPr>
        <w:tab/>
        <w:t xml:space="preserve">Цикл Деминга (PDCA) как основа  процессного  подхода.   </w:t>
      </w:r>
    </w:p>
    <w:p w14:paraId="4D8E8396" w14:textId="16B3B019" w:rsidR="004F64D4" w:rsidRPr="00DC2D31" w:rsidRDefault="004F64D4" w:rsidP="00AC050A">
      <w:pPr>
        <w:rPr>
          <w:rFonts w:ascii="Times New Roman" w:hAnsi="Times New Roman" w:cs="Times New Roman"/>
          <w:noProof/>
          <w:sz w:val="28"/>
          <w:szCs w:val="24"/>
        </w:rPr>
      </w:pPr>
    </w:p>
    <w:sectPr w:rsidR="004F64D4" w:rsidRPr="00DC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5E0"/>
    <w:multiLevelType w:val="hybridMultilevel"/>
    <w:tmpl w:val="1E06328E"/>
    <w:lvl w:ilvl="0" w:tplc="E89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C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0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11940"/>
    <w:multiLevelType w:val="hybridMultilevel"/>
    <w:tmpl w:val="E70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325D"/>
    <w:multiLevelType w:val="hybridMultilevel"/>
    <w:tmpl w:val="CB2A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BFA"/>
    <w:multiLevelType w:val="hybridMultilevel"/>
    <w:tmpl w:val="FADEE2EE"/>
    <w:lvl w:ilvl="0" w:tplc="5C9C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80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A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3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9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EA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61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0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CB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174260">
    <w:abstractNumId w:val="0"/>
  </w:num>
  <w:num w:numId="2" w16cid:durableId="1587685682">
    <w:abstractNumId w:val="3"/>
  </w:num>
  <w:num w:numId="3" w16cid:durableId="116802645">
    <w:abstractNumId w:val="1"/>
  </w:num>
  <w:num w:numId="4" w16cid:durableId="175134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6B"/>
    <w:rsid w:val="00103289"/>
    <w:rsid w:val="00124303"/>
    <w:rsid w:val="00133994"/>
    <w:rsid w:val="00196D2C"/>
    <w:rsid w:val="00443CE8"/>
    <w:rsid w:val="004F64D4"/>
    <w:rsid w:val="005B59DB"/>
    <w:rsid w:val="006E6667"/>
    <w:rsid w:val="008B6063"/>
    <w:rsid w:val="00A83C2F"/>
    <w:rsid w:val="00AC050A"/>
    <w:rsid w:val="00C31194"/>
    <w:rsid w:val="00DC2D31"/>
    <w:rsid w:val="00E0056B"/>
    <w:rsid w:val="00EE5BC6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F6A2"/>
  <w15:chartTrackingRefBased/>
  <w15:docId w15:val="{54EA6E0E-6524-42F4-B08A-9BD9686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2B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4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50A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DC2D31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DC2D31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Басыров Ильмир Мансурович</cp:lastModifiedBy>
  <cp:revision>8</cp:revision>
  <dcterms:created xsi:type="dcterms:W3CDTF">2022-02-26T17:41:00Z</dcterms:created>
  <dcterms:modified xsi:type="dcterms:W3CDTF">2024-03-22T06:30:00Z</dcterms:modified>
</cp:coreProperties>
</file>